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50330" w14:textId="41FE1604" w:rsidR="00107FD0" w:rsidRPr="00993152" w:rsidRDefault="00107FD0" w:rsidP="00107FD0">
      <w:pPr>
        <w:pStyle w:val="CRCoverPage"/>
        <w:tabs>
          <w:tab w:val="right" w:pos="9639"/>
          <w:tab w:val="right" w:pos="13323"/>
        </w:tabs>
        <w:spacing w:after="0"/>
        <w:rPr>
          <w:rFonts w:cs="Arial"/>
          <w:b/>
          <w:sz w:val="24"/>
          <w:szCs w:val="24"/>
          <w:lang w:eastAsia="zh-CN"/>
        </w:rPr>
      </w:pPr>
      <w:bookmarkStart w:id="0" w:name="_Ref399006623"/>
      <w:bookmarkStart w:id="1" w:name="_Toc92513360"/>
      <w:bookmarkStart w:id="2" w:name="_Toc193024528"/>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sidRPr="007D3E81">
        <w:rPr>
          <w:rFonts w:cs="Arial"/>
          <w:b/>
          <w:sz w:val="24"/>
          <w:szCs w:val="24"/>
        </w:rPr>
        <w:tab/>
      </w:r>
      <w:r w:rsidR="00197E33" w:rsidRPr="00197E33">
        <w:rPr>
          <w:rFonts w:cs="Arial"/>
          <w:b/>
          <w:sz w:val="24"/>
          <w:szCs w:val="24"/>
          <w:lang w:eastAsia="zh-CN"/>
        </w:rPr>
        <w:t>R2-1910577</w:t>
      </w:r>
    </w:p>
    <w:p w14:paraId="57FB1393" w14:textId="730B0E2E" w:rsidR="00FA260E" w:rsidRPr="003E541F" w:rsidRDefault="00107FD0" w:rsidP="00107FD0">
      <w:pPr>
        <w:pStyle w:val="CRCoverPage"/>
        <w:tabs>
          <w:tab w:val="right" w:pos="9639"/>
          <w:tab w:val="right" w:pos="13323"/>
        </w:tabs>
        <w:spacing w:after="0"/>
        <w:rPr>
          <w:rFonts w:cs="Arial"/>
          <w:lang w:eastAsia="zh-CN"/>
        </w:rPr>
      </w:pPr>
      <w:r w:rsidRPr="005052E9">
        <w:rPr>
          <w:b/>
          <w:sz w:val="24"/>
        </w:rPr>
        <w:t>Prague, Czech Republic</w:t>
      </w:r>
      <w:r>
        <w:rPr>
          <w:b/>
          <w:sz w:val="24"/>
        </w:rPr>
        <w:t>,</w:t>
      </w:r>
      <w:r w:rsidRPr="005052E9">
        <w:rPr>
          <w:b/>
          <w:sz w:val="24"/>
        </w:rPr>
        <w:t xml:space="preserve"> 26</w:t>
      </w:r>
      <w:r w:rsidRPr="00796548">
        <w:rPr>
          <w:b/>
          <w:sz w:val="24"/>
          <w:vertAlign w:val="superscript"/>
        </w:rPr>
        <w:t>th</w:t>
      </w:r>
      <w:r w:rsidRPr="005052E9">
        <w:rPr>
          <w:b/>
          <w:sz w:val="24"/>
        </w:rPr>
        <w:t xml:space="preserve"> - 30</w:t>
      </w:r>
      <w:r w:rsidRPr="00796548">
        <w:rPr>
          <w:b/>
          <w:sz w:val="24"/>
          <w:vertAlign w:val="superscript"/>
        </w:rPr>
        <w:t>th</w:t>
      </w:r>
      <w:r>
        <w:rPr>
          <w:b/>
          <w:sz w:val="24"/>
        </w:rPr>
        <w:t>,</w:t>
      </w:r>
      <w:r w:rsidRPr="005052E9">
        <w:rPr>
          <w:b/>
          <w:sz w:val="24"/>
        </w:rPr>
        <w:t xml:space="preserve"> August</w:t>
      </w:r>
      <w:r>
        <w:rPr>
          <w:b/>
          <w:sz w:val="24"/>
        </w:rPr>
        <w:t>,</w:t>
      </w:r>
      <w:r w:rsidRPr="005052E9">
        <w:rPr>
          <w:b/>
          <w:sz w:val="24"/>
        </w:rPr>
        <w:t xml:space="preserve"> 2019</w:t>
      </w:r>
      <w:r>
        <w:rPr>
          <w:rFonts w:cs="Arial"/>
          <w:b/>
          <w:noProof/>
          <w:sz w:val="24"/>
          <w:szCs w:val="24"/>
        </w:rPr>
        <w:t xml:space="preserve">     </w:t>
      </w:r>
      <w:r w:rsidR="00E028C7">
        <w:rPr>
          <w:rFonts w:cs="Arial"/>
          <w:b/>
          <w:noProof/>
          <w:sz w:val="24"/>
          <w:szCs w:val="24"/>
        </w:rPr>
        <w:t xml:space="preserve">       </w:t>
      </w:r>
      <w:r w:rsidR="0018649F">
        <w:rPr>
          <w:rFonts w:cs="Arial"/>
          <w:b/>
          <w:noProof/>
          <w:sz w:val="24"/>
          <w:szCs w:val="24"/>
        </w:rPr>
        <w:t xml:space="preserve">revision </w:t>
      </w:r>
      <w:r>
        <w:rPr>
          <w:rFonts w:cs="Arial"/>
          <w:b/>
          <w:noProof/>
          <w:sz w:val="24"/>
          <w:szCs w:val="24"/>
        </w:rPr>
        <w:t xml:space="preserve">of </w:t>
      </w:r>
      <w:r w:rsidRPr="00F36EF3">
        <w:rPr>
          <w:rFonts w:cs="Arial"/>
          <w:b/>
          <w:sz w:val="24"/>
          <w:szCs w:val="24"/>
          <w:lang w:eastAsia="zh-CN"/>
        </w:rPr>
        <w:t>R2-1</w:t>
      </w:r>
      <w:r>
        <w:rPr>
          <w:rFonts w:cs="Arial"/>
          <w:b/>
          <w:sz w:val="24"/>
          <w:szCs w:val="24"/>
          <w:lang w:eastAsia="zh-CN"/>
        </w:rPr>
        <w:t>907792</w:t>
      </w:r>
      <w:r w:rsidR="00B3557C">
        <w:rPr>
          <w:rFonts w:cs="Arial"/>
          <w:b/>
          <w:noProof/>
          <w:sz w:val="24"/>
          <w:szCs w:val="24"/>
        </w:rPr>
        <w:tab/>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E410EC7"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72554">
        <w:rPr>
          <w:rFonts w:ascii="Arial" w:hAnsi="Arial" w:cs="Arial" w:hint="eastAsia"/>
          <w:sz w:val="24"/>
          <w:szCs w:val="24"/>
          <w:lang w:eastAsia="zh-CN"/>
        </w:rPr>
        <w:t>11.6.</w:t>
      </w:r>
      <w:r w:rsidR="00B72554">
        <w:rPr>
          <w:rFonts w:ascii="Arial" w:hAnsi="Arial" w:cs="Arial"/>
          <w:sz w:val="24"/>
          <w:szCs w:val="24"/>
          <w:lang w:eastAsia="zh-CN"/>
        </w:rPr>
        <w:t>4</w:t>
      </w:r>
      <w:r w:rsidR="00B845AA">
        <w:rPr>
          <w:rFonts w:ascii="Arial" w:hAnsi="Arial" w:cs="Arial" w:hint="eastAsia"/>
          <w:sz w:val="24"/>
          <w:szCs w:val="24"/>
          <w:lang w:eastAsia="zh-CN"/>
        </w:rPr>
        <w:t>.</w:t>
      </w:r>
      <w:r w:rsidR="009D148C">
        <w:rPr>
          <w:rFonts w:ascii="Arial" w:hAnsi="Arial" w:cs="Arial" w:hint="eastAsia"/>
          <w:sz w:val="24"/>
          <w:szCs w:val="24"/>
          <w:lang w:eastAsia="zh-CN"/>
        </w:rPr>
        <w:t>3</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3E5CA446"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197E33" w:rsidRPr="00197E33">
        <w:rPr>
          <w:rFonts w:ascii="Arial" w:hAnsi="Arial" w:cs="Arial"/>
          <w:sz w:val="24"/>
          <w:szCs w:val="24"/>
        </w:rPr>
        <w:t>Service continuity between Non-Terrestrial and Terrestrial Networks</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291FA944" w:rsidR="00D035AF" w:rsidRPr="00FB1ABC" w:rsidRDefault="00761DE9" w:rsidP="00FB1ABC">
      <w:pPr>
        <w:spacing w:beforeLines="50" w:before="120" w:after="120"/>
        <w:rPr>
          <w:lang w:eastAsia="zh-CN"/>
        </w:rPr>
      </w:pPr>
      <w:bookmarkStart w:id="6" w:name="OLE_LINK9"/>
      <w:r>
        <w:t xml:space="preserve">During </w:t>
      </w:r>
      <w:r w:rsidR="00E028C7">
        <w:t>RAN2#106</w:t>
      </w:r>
      <w:r>
        <w:t xml:space="preserve"> meeting, the issue of s</w:t>
      </w:r>
      <w:r w:rsidRPr="00761DE9">
        <w:t xml:space="preserve">ervice continuity between Non-Terrestrial </w:t>
      </w:r>
      <w:r w:rsidR="00E028C7" w:rsidRPr="00761DE9">
        <w:t xml:space="preserve">Networks </w:t>
      </w:r>
      <w:r w:rsidRPr="00761DE9">
        <w:t>and Terrestrial Networks</w:t>
      </w:r>
      <w:r>
        <w:t xml:space="preserve"> was discussed and an email discussion was left to capture the </w:t>
      </w:r>
      <w:r w:rsidR="00E028C7">
        <w:t xml:space="preserve">issues and solutions of </w:t>
      </w:r>
      <w:r>
        <w:t>service continuity between NT</w:t>
      </w:r>
      <w:r w:rsidR="00E028C7">
        <w:t>N</w:t>
      </w:r>
      <w:r>
        <w:t xml:space="preserve"> and T</w:t>
      </w:r>
      <w:r w:rsidR="00E028C7">
        <w:t>N</w:t>
      </w:r>
      <w:r w:rsidR="008D73D0">
        <w:t xml:space="preserve"> [1]</w:t>
      </w:r>
      <w:r>
        <w:t xml:space="preserve">. </w:t>
      </w:r>
      <w:r w:rsidR="00E028C7">
        <w:t>I</w:t>
      </w:r>
      <w:r w:rsidR="00FB1ABC">
        <w:t xml:space="preserve">n this contribution, we will </w:t>
      </w:r>
      <w:r w:rsidR="00E028C7">
        <w:t xml:space="preserve">further </w:t>
      </w:r>
      <w:r w:rsidR="00EB1DAD">
        <w:t>analyse how to</w:t>
      </w:r>
      <w:r>
        <w:t xml:space="preserve"> </w:t>
      </w:r>
      <w:r w:rsidR="0022796B">
        <w:t>achiev</w:t>
      </w:r>
      <w:r w:rsidR="00E028C7">
        <w:t>e</w:t>
      </w:r>
      <w:r w:rsidR="0022796B">
        <w:t xml:space="preserve"> </w:t>
      </w:r>
      <w:r>
        <w:t>s</w:t>
      </w:r>
      <w:r w:rsidRPr="00761DE9">
        <w:t>ervice continuity</w:t>
      </w:r>
      <w:r w:rsidR="00E028C7">
        <w:t xml:space="preserve"> based on the email discussion</w:t>
      </w:r>
      <w:r w:rsidR="00FB1ABC">
        <w:t>.</w:t>
      </w:r>
      <w:bookmarkEnd w:id="6"/>
    </w:p>
    <w:p w14:paraId="4915A11C" w14:textId="77777777" w:rsidR="00227115" w:rsidRDefault="008C0D0D" w:rsidP="008C0D0D">
      <w:pPr>
        <w:pStyle w:val="1"/>
        <w:rPr>
          <w:lang w:eastAsia="zh-CN"/>
        </w:rPr>
      </w:pPr>
      <w:r>
        <w:rPr>
          <w:lang w:eastAsia="zh-CN"/>
        </w:rPr>
        <w:t>Discussion</w:t>
      </w:r>
    </w:p>
    <w:p w14:paraId="7BCCDEC8" w14:textId="3328DECD" w:rsidR="002F09A2" w:rsidRDefault="000C7D54" w:rsidP="00EB1DAD">
      <w:pPr>
        <w:spacing w:beforeLines="50" w:before="120" w:after="120"/>
        <w:rPr>
          <w:rFonts w:eastAsiaTheme="minorEastAsia"/>
          <w:lang w:eastAsia="zh-CN"/>
        </w:rPr>
      </w:pPr>
      <w:bookmarkStart w:id="7" w:name="OLE_LINK108"/>
      <w:bookmarkStart w:id="8" w:name="OLE_LINK109"/>
      <w:r>
        <w:rPr>
          <w:rFonts w:eastAsiaTheme="minorEastAsia"/>
          <w:lang w:eastAsia="zh-CN"/>
        </w:rPr>
        <w:t xml:space="preserve">Compared to </w:t>
      </w:r>
      <w:r w:rsidRPr="00761DE9">
        <w:t>Terrestrial Networks</w:t>
      </w:r>
      <w:r>
        <w:t xml:space="preserve">, the </w:t>
      </w:r>
      <w:r w:rsidRPr="00761DE9">
        <w:t>Non-Terrestrial</w:t>
      </w:r>
      <w:r>
        <w:t xml:space="preserve"> Networks own the advantage of </w:t>
      </w:r>
      <w:r w:rsidRPr="000C7D54">
        <w:t>wide service coverage capabilities and reduced vulnerability to physical attacks and natural disasters</w:t>
      </w:r>
      <w:r>
        <w:t xml:space="preserve"> on the ground</w:t>
      </w:r>
      <w:r w:rsidR="00386AF8">
        <w:rPr>
          <w:rFonts w:eastAsiaTheme="minorEastAsia"/>
          <w:lang w:eastAsia="zh-CN"/>
        </w:rPr>
        <w:t>.</w:t>
      </w:r>
      <w:r>
        <w:rPr>
          <w:rFonts w:eastAsiaTheme="minorEastAsia"/>
          <w:lang w:eastAsia="zh-CN"/>
        </w:rPr>
        <w:t xml:space="preserve"> According to TR38.811, NTN is especially useful in the following scenarios:</w:t>
      </w:r>
    </w:p>
    <w:tbl>
      <w:tblPr>
        <w:tblStyle w:val="a9"/>
        <w:tblW w:w="0" w:type="auto"/>
        <w:jc w:val="center"/>
        <w:tblLook w:val="04A0" w:firstRow="1" w:lastRow="0" w:firstColumn="1" w:lastColumn="0" w:noHBand="0" w:noVBand="1"/>
      </w:tblPr>
      <w:tblGrid>
        <w:gridCol w:w="7654"/>
      </w:tblGrid>
      <w:tr w:rsidR="000C7D54" w14:paraId="40206794" w14:textId="77777777" w:rsidTr="000C7D54">
        <w:trPr>
          <w:jc w:val="center"/>
        </w:trPr>
        <w:tc>
          <w:tcPr>
            <w:tcW w:w="7654" w:type="dxa"/>
          </w:tcPr>
          <w:p w14:paraId="2F26A7D9" w14:textId="633FA8BB" w:rsidR="000C7D54" w:rsidRDefault="000C7D54" w:rsidP="00BA099D">
            <w:pPr>
              <w:pStyle w:val="B1"/>
              <w:spacing w:after="0"/>
              <w:jc w:val="both"/>
            </w:pPr>
            <w:r>
              <w:t>Non-Terrestrial Networks are expected to</w:t>
            </w:r>
          </w:p>
          <w:p w14:paraId="7025323C" w14:textId="77777777" w:rsidR="000C7D54" w:rsidRDefault="000C7D54" w:rsidP="00BA099D">
            <w:pPr>
              <w:pStyle w:val="B1"/>
              <w:spacing w:after="0"/>
              <w:jc w:val="both"/>
            </w:pPr>
            <w:r>
              <w:t>-</w:t>
            </w:r>
            <w:r>
              <w:tab/>
              <w:t>foster the roll out of 5G service in un-served areas that cannot be covered by terrestrial 5G network (isolated/remote areas, on board aircrafts or vessels) and underserved areas (e.g. sub-urban/rural areas) to upgrade the performance of limited terrestrial networks in cost effective manner,</w:t>
            </w:r>
          </w:p>
          <w:p w14:paraId="5E051EEE" w14:textId="77777777" w:rsidR="000C7D54" w:rsidRDefault="000C7D54" w:rsidP="00BA099D">
            <w:pPr>
              <w:pStyle w:val="B1"/>
              <w:spacing w:after="0"/>
              <w:jc w:val="both"/>
            </w:pPr>
            <w:r>
              <w:t>-</w:t>
            </w:r>
            <w:r>
              <w:tab/>
              <w:t>reinforce the 5G service reliability by providing service continuity for M2M/</w:t>
            </w:r>
            <w:proofErr w:type="spellStart"/>
            <w:r>
              <w:t>IoT</w:t>
            </w:r>
            <w:proofErr w:type="spellEnd"/>
            <w:r>
              <w:t xml:space="preserve"> devices or for passengers on board moving platforms (e.g. passenger vehicles-aircraft, ships, high speed trains, bus) or ensuring service availability anywhere especially for critical communications, future railway/maritime/aeronautical communications, and to</w:t>
            </w:r>
          </w:p>
          <w:p w14:paraId="57A3C098" w14:textId="1C3902C0" w:rsidR="000C7D54" w:rsidRPr="000C7D54" w:rsidRDefault="000C7D54" w:rsidP="00BA099D">
            <w:pPr>
              <w:pStyle w:val="B1"/>
              <w:spacing w:after="0"/>
              <w:jc w:val="both"/>
            </w:pPr>
            <w:r>
              <w:t>-</w:t>
            </w:r>
            <w:r>
              <w:tab/>
              <w:t>enable 5G network scalability by providing efficient multicast/broadcast resources for data delivery towards the network edges or even user terminal.</w:t>
            </w:r>
          </w:p>
        </w:tc>
      </w:tr>
    </w:tbl>
    <w:p w14:paraId="04431F52" w14:textId="1E97E66F" w:rsidR="004A24CD" w:rsidRDefault="000C7D54" w:rsidP="00BA099D">
      <w:pPr>
        <w:spacing w:beforeLines="50" w:before="120" w:after="120"/>
      </w:pPr>
      <w:r>
        <w:rPr>
          <w:rFonts w:eastAsiaTheme="minorEastAsia" w:hint="eastAsia"/>
          <w:lang w:eastAsia="zh-CN"/>
        </w:rPr>
        <w:t>F</w:t>
      </w:r>
      <w:r>
        <w:rPr>
          <w:rFonts w:eastAsiaTheme="minorEastAsia"/>
          <w:lang w:eastAsia="zh-CN"/>
        </w:rPr>
        <w:t xml:space="preserve">rom the above specification, it can be seen that </w:t>
      </w:r>
      <w:r w:rsidR="002E1E7A">
        <w:rPr>
          <w:rFonts w:eastAsiaTheme="minorEastAsia"/>
          <w:lang w:eastAsia="zh-CN"/>
        </w:rPr>
        <w:t xml:space="preserve">in some cases the </w:t>
      </w:r>
      <w:r w:rsidR="002E1E7A" w:rsidRPr="00761DE9">
        <w:t>Terrestrial Networks</w:t>
      </w:r>
      <w:r w:rsidR="002E1E7A">
        <w:t xml:space="preserve"> are not available, e.g., in the desert or on the sea or in the jungle etc. There are common characteristics about these scenarios </w:t>
      </w:r>
      <w:r w:rsidR="003A16B3">
        <w:t xml:space="preserve">where incredibly large </w:t>
      </w:r>
      <w:r w:rsidR="004E45A4">
        <w:t>areas</w:t>
      </w:r>
      <w:r w:rsidR="003A16B3">
        <w:t xml:space="preserve"> are involved without normal coverage. Thus for most of</w:t>
      </w:r>
      <w:r w:rsidR="009A3ED3" w:rsidRPr="009A3ED3">
        <w:t xml:space="preserve"> </w:t>
      </w:r>
      <w:r w:rsidR="009A3ED3">
        <w:t>the</w:t>
      </w:r>
      <w:r w:rsidR="003A16B3">
        <w:t xml:space="preserve"> time, UE may not be able to have access to the </w:t>
      </w:r>
      <w:r w:rsidR="003A16B3" w:rsidRPr="00761DE9">
        <w:t>Terrestrial Networks</w:t>
      </w:r>
      <w:r w:rsidR="003A16B3">
        <w:t xml:space="preserve">. </w:t>
      </w:r>
      <w:r w:rsidR="009A3ED3">
        <w:t xml:space="preserve">Though the </w:t>
      </w:r>
      <w:r w:rsidR="009A3ED3" w:rsidRPr="00761DE9">
        <w:t>Non-Terrestrial</w:t>
      </w:r>
      <w:r w:rsidR="009A3ED3">
        <w:t xml:space="preserve"> Networks have better coverage in the above mentioned areas, they have lower radio quality than the </w:t>
      </w:r>
      <w:r w:rsidR="009A3ED3" w:rsidRPr="00761DE9">
        <w:t>Terrestrial Network</w:t>
      </w:r>
      <w:r w:rsidR="009A3ED3">
        <w:t xml:space="preserve"> in the continent where both </w:t>
      </w:r>
      <w:r w:rsidR="009A3ED3" w:rsidRPr="00761DE9">
        <w:t>Non-Terrestrial</w:t>
      </w:r>
      <w:r w:rsidR="009A3ED3">
        <w:t xml:space="preserve"> Networks and </w:t>
      </w:r>
      <w:r w:rsidR="009A3ED3" w:rsidRPr="00761DE9">
        <w:t>Terrestrial Network</w:t>
      </w:r>
      <w:r w:rsidR="009A3ED3">
        <w:t xml:space="preserve">s have coverage. Therefore to improve the Quality of Service of the communication, UE is better to switch to the </w:t>
      </w:r>
      <w:r w:rsidR="009A3ED3" w:rsidRPr="00761DE9">
        <w:t>Terrestrial Network</w:t>
      </w:r>
      <w:r w:rsidR="009A3ED3">
        <w:t>s at the border of the TN coverage.</w:t>
      </w:r>
    </w:p>
    <w:p w14:paraId="0E047BC1" w14:textId="58629083" w:rsidR="004A24CD" w:rsidRDefault="009A3ED3" w:rsidP="004A24CD">
      <w:pPr>
        <w:spacing w:beforeLines="100" w:before="240" w:after="120"/>
        <w:jc w:val="center"/>
      </w:pPr>
      <w:r>
        <w:object w:dxaOrig="6735" w:dyaOrig="4515" w14:anchorId="20A94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pt;height:177.2pt" o:ole="">
            <v:imagedata r:id="rId8" o:title=""/>
          </v:shape>
          <o:OLEObject Type="Embed" ProgID="Visio.Drawing.15" ShapeID="_x0000_i1025" DrawAspect="Content" ObjectID="_1627455205" r:id="rId9"/>
        </w:object>
      </w:r>
    </w:p>
    <w:p w14:paraId="5D0C4CF0" w14:textId="620A2AB1" w:rsidR="004A24CD" w:rsidRPr="00B359A1" w:rsidRDefault="004A24CD" w:rsidP="004A24CD">
      <w:pPr>
        <w:spacing w:beforeLines="100" w:before="240" w:after="120"/>
        <w:jc w:val="center"/>
        <w:rPr>
          <w:rFonts w:eastAsiaTheme="minorEastAsia"/>
          <w:b/>
          <w:lang w:eastAsia="zh-CN"/>
        </w:rPr>
      </w:pPr>
      <w:r w:rsidRPr="00B359A1">
        <w:rPr>
          <w:b/>
        </w:rPr>
        <w:t>Figure</w:t>
      </w:r>
      <w:r w:rsidR="009A3ED3">
        <w:rPr>
          <w:b/>
        </w:rPr>
        <w:t xml:space="preserve"> 1</w:t>
      </w:r>
      <w:r w:rsidRPr="00B359A1">
        <w:rPr>
          <w:b/>
        </w:rPr>
        <w:t>.</w:t>
      </w:r>
      <w:r>
        <w:rPr>
          <w:b/>
        </w:rPr>
        <w:t xml:space="preserve"> </w:t>
      </w:r>
      <w:r w:rsidR="009A3ED3">
        <w:rPr>
          <w:b/>
        </w:rPr>
        <w:t>Serving continuity between NTN and TN</w:t>
      </w:r>
    </w:p>
    <w:p w14:paraId="6F9796BD" w14:textId="5C401DC4" w:rsidR="008D73D0" w:rsidRDefault="005C5A6C" w:rsidP="000C7D54">
      <w:pPr>
        <w:spacing w:beforeLines="100" w:before="240" w:after="120"/>
      </w:pPr>
      <w:r>
        <w:t xml:space="preserve">Currently, </w:t>
      </w:r>
      <w:r w:rsidR="009A3ED3">
        <w:t xml:space="preserve">for UEs in the NTN-only areas, </w:t>
      </w:r>
      <w:r w:rsidR="008D73D0">
        <w:t xml:space="preserve">it is </w:t>
      </w:r>
      <w:r>
        <w:t>stated</w:t>
      </w:r>
      <w:r w:rsidR="008D73D0">
        <w:t xml:space="preserve"> in </w:t>
      </w:r>
      <w:r w:rsidR="004A24CD">
        <w:t xml:space="preserve">the TP </w:t>
      </w:r>
      <w:r w:rsidR="008D73D0">
        <w:t>that</w:t>
      </w:r>
      <w:r w:rsidR="004A24CD">
        <w:t xml:space="preserve"> [1]</w:t>
      </w:r>
      <w:r w:rsidR="008D73D0">
        <w:t>:</w:t>
      </w:r>
    </w:p>
    <w:tbl>
      <w:tblPr>
        <w:tblStyle w:val="a9"/>
        <w:tblW w:w="0" w:type="auto"/>
        <w:jc w:val="center"/>
        <w:tblLook w:val="04A0" w:firstRow="1" w:lastRow="0" w:firstColumn="1" w:lastColumn="0" w:noHBand="0" w:noVBand="1"/>
      </w:tblPr>
      <w:tblGrid>
        <w:gridCol w:w="7654"/>
      </w:tblGrid>
      <w:tr w:rsidR="008D73D0" w14:paraId="1303DFFE" w14:textId="77777777" w:rsidTr="003F5DE6">
        <w:trPr>
          <w:jc w:val="center"/>
        </w:trPr>
        <w:tc>
          <w:tcPr>
            <w:tcW w:w="7654" w:type="dxa"/>
          </w:tcPr>
          <w:p w14:paraId="67C1DB38" w14:textId="66EABADB" w:rsidR="008D73D0" w:rsidRPr="000C7D54" w:rsidRDefault="008D73D0" w:rsidP="003F5DE6">
            <w:pPr>
              <w:pStyle w:val="B1"/>
              <w:spacing w:after="120"/>
              <w:jc w:val="both"/>
            </w:pPr>
            <w:r>
              <w:rPr>
                <w:lang w:val="en-US"/>
              </w:rPr>
              <w:t xml:space="preserve">Furthermore, </w:t>
            </w:r>
            <w:r w:rsidRPr="008D73D0">
              <w:t>a UE configuration (provided by the serving RAN) with long periodicity (less frequent measurements) where the UE attempts to detect possible TN coverage even when being served by NTN cell shall be assumed as baseline.</w:t>
            </w:r>
          </w:p>
        </w:tc>
      </w:tr>
    </w:tbl>
    <w:p w14:paraId="357C4A41" w14:textId="0DE8CA55" w:rsidR="007B66BE" w:rsidRDefault="004A24CD" w:rsidP="000439FC">
      <w:pPr>
        <w:spacing w:beforeLines="100" w:before="240" w:after="120"/>
        <w:rPr>
          <w:lang w:eastAsia="zh-CN"/>
        </w:rPr>
      </w:pPr>
      <w:r>
        <w:rPr>
          <w:lang w:eastAsia="zh-CN"/>
        </w:rPr>
        <w:t xml:space="preserve">According to the TP, “long periodicity” will be configured for TN measurement in NTN-only areas. As UE may be moving, </w:t>
      </w:r>
      <w:r w:rsidR="005C5A6C">
        <w:rPr>
          <w:lang w:eastAsia="zh-CN"/>
        </w:rPr>
        <w:t xml:space="preserve">the “long periodicity” may delay the measurement for TN in some cases. For instance, when UE approaches the TN </w:t>
      </w:r>
      <w:r w:rsidR="00CE338C">
        <w:rPr>
          <w:lang w:eastAsia="zh-CN"/>
        </w:rPr>
        <w:t>border</w:t>
      </w:r>
      <w:r w:rsidR="005C5A6C">
        <w:rPr>
          <w:lang w:eastAsia="zh-CN"/>
        </w:rPr>
        <w:t xml:space="preserve"> while still in the “long periodicity”, it may not be able to perform TN measurement in time.</w:t>
      </w:r>
      <w:r w:rsidR="003104A4">
        <w:rPr>
          <w:lang w:eastAsia="zh-CN"/>
        </w:rPr>
        <w:t xml:space="preserve"> </w:t>
      </w:r>
      <w:r>
        <w:rPr>
          <w:lang w:eastAsia="zh-CN"/>
        </w:rPr>
        <w:t xml:space="preserve">As a result, the handover or cell reselection to TN is delayed. </w:t>
      </w:r>
      <w:r w:rsidR="004940D1">
        <w:t xml:space="preserve">Therefore, it is better </w:t>
      </w:r>
      <w:r w:rsidR="009A602E">
        <w:t xml:space="preserve">for the network </w:t>
      </w:r>
      <w:r w:rsidR="004940D1">
        <w:t xml:space="preserve">to configure UE to </w:t>
      </w:r>
      <w:r w:rsidR="009A602E">
        <w:t>perform</w:t>
      </w:r>
      <w:r w:rsidR="004940D1">
        <w:t xml:space="preserve"> the measurement for </w:t>
      </w:r>
      <w:r w:rsidR="004940D1" w:rsidRPr="00761DE9">
        <w:t>Terrestrial Networks</w:t>
      </w:r>
      <w:r w:rsidR="004940D1">
        <w:t xml:space="preserve"> </w:t>
      </w:r>
      <w:r w:rsidR="009A602E">
        <w:t>the moment TN border is detected</w:t>
      </w:r>
      <w:r w:rsidR="004940D1">
        <w:t xml:space="preserve">. </w:t>
      </w:r>
      <w:r w:rsidR="005A2356">
        <w:t xml:space="preserve"> </w:t>
      </w:r>
      <w:r w:rsidR="003A16B3">
        <w:t xml:space="preserve"> </w:t>
      </w:r>
      <w:r w:rsidR="002E1E7A">
        <w:t xml:space="preserve"> </w:t>
      </w:r>
    </w:p>
    <w:p w14:paraId="6833C226" w14:textId="1B5ACD7B" w:rsidR="000C7D54" w:rsidRDefault="003104A4" w:rsidP="00EB1DAD">
      <w:pPr>
        <w:spacing w:beforeLines="50" w:before="120" w:after="120"/>
        <w:rPr>
          <w:rFonts w:eastAsiaTheme="minorEastAsia"/>
          <w:b/>
          <w:lang w:eastAsia="zh-CN"/>
        </w:rPr>
      </w:pPr>
      <w:r>
        <w:rPr>
          <w:rFonts w:eastAsiaTheme="minorEastAsia"/>
          <w:b/>
          <w:lang w:eastAsia="zh-CN"/>
        </w:rPr>
        <w:t>Observation</w:t>
      </w:r>
      <w:r w:rsidR="00CE338C">
        <w:rPr>
          <w:rFonts w:eastAsiaTheme="minorEastAsia"/>
          <w:b/>
          <w:lang w:eastAsia="zh-CN"/>
        </w:rPr>
        <w:t xml:space="preserve"> 1</w:t>
      </w:r>
      <w:r w:rsidR="005A2356" w:rsidRPr="005A2356">
        <w:rPr>
          <w:rFonts w:eastAsiaTheme="minorEastAsia"/>
          <w:b/>
          <w:lang w:eastAsia="zh-CN"/>
        </w:rPr>
        <w:t xml:space="preserve">: </w:t>
      </w:r>
      <w:r w:rsidR="009A602E">
        <w:rPr>
          <w:rFonts w:eastAsiaTheme="minorEastAsia"/>
          <w:b/>
          <w:lang w:eastAsia="zh-CN"/>
        </w:rPr>
        <w:t>For timely TN measurement, t</w:t>
      </w:r>
      <w:r>
        <w:rPr>
          <w:rFonts w:eastAsiaTheme="minorEastAsia"/>
          <w:b/>
          <w:lang w:eastAsia="zh-CN"/>
        </w:rPr>
        <w:t>he “</w:t>
      </w:r>
      <w:r w:rsidRPr="003104A4">
        <w:rPr>
          <w:rFonts w:eastAsiaTheme="minorEastAsia"/>
          <w:b/>
          <w:lang w:eastAsia="zh-CN"/>
        </w:rPr>
        <w:t>long periodicity</w:t>
      </w:r>
      <w:r>
        <w:rPr>
          <w:rFonts w:eastAsiaTheme="minorEastAsia"/>
          <w:b/>
          <w:lang w:eastAsia="zh-CN"/>
        </w:rPr>
        <w:t xml:space="preserve">” </w:t>
      </w:r>
      <w:r w:rsidR="009A602E">
        <w:rPr>
          <w:rFonts w:eastAsiaTheme="minorEastAsia"/>
          <w:b/>
          <w:lang w:eastAsia="zh-CN"/>
        </w:rPr>
        <w:t xml:space="preserve">configuration should be </w:t>
      </w:r>
      <w:r w:rsidR="00BA099D">
        <w:rPr>
          <w:rFonts w:eastAsiaTheme="minorEastAsia"/>
          <w:b/>
          <w:lang w:eastAsia="zh-CN"/>
        </w:rPr>
        <w:t>stopped</w:t>
      </w:r>
      <w:r w:rsidR="009A602E">
        <w:rPr>
          <w:rFonts w:eastAsiaTheme="minorEastAsia"/>
          <w:b/>
          <w:lang w:eastAsia="zh-CN"/>
        </w:rPr>
        <w:t xml:space="preserve"> </w:t>
      </w:r>
      <w:r w:rsidR="009A3ED3">
        <w:rPr>
          <w:rFonts w:eastAsiaTheme="minorEastAsia"/>
          <w:b/>
          <w:lang w:eastAsia="zh-CN"/>
        </w:rPr>
        <w:t>the moment</w:t>
      </w:r>
      <w:r w:rsidR="009A602E">
        <w:rPr>
          <w:rFonts w:eastAsiaTheme="minorEastAsia"/>
          <w:b/>
          <w:lang w:eastAsia="zh-CN"/>
        </w:rPr>
        <w:t xml:space="preserve"> TN border is detected</w:t>
      </w:r>
      <w:r w:rsidR="005A2356">
        <w:rPr>
          <w:rFonts w:eastAsiaTheme="minorEastAsia"/>
          <w:b/>
          <w:lang w:eastAsia="zh-CN"/>
        </w:rPr>
        <w:t xml:space="preserve">.  </w:t>
      </w:r>
    </w:p>
    <w:p w14:paraId="4C50FD0B" w14:textId="74884293" w:rsidR="00CE338C" w:rsidRDefault="00BA099D" w:rsidP="00BA099D">
      <w:r>
        <w:t>The calling off of the “long periodicity” relies on the TN border detection. So</w:t>
      </w:r>
      <w:r w:rsidR="00CE338C">
        <w:t xml:space="preserve"> UE should be aware of the bo</w:t>
      </w:r>
      <w:r w:rsidR="00CE338C" w:rsidRPr="00CE338C">
        <w:t>rder</w:t>
      </w:r>
      <w:r w:rsidR="00CE338C">
        <w:t xml:space="preserve"> of TN coverage as soon as </w:t>
      </w:r>
      <w:r>
        <w:t>it approaches</w:t>
      </w:r>
      <w:r w:rsidR="00CE338C">
        <w:t xml:space="preserve">. </w:t>
      </w:r>
      <w:r>
        <w:t>Then t</w:t>
      </w:r>
      <w:r w:rsidR="00CE338C">
        <w:t xml:space="preserve">he network implementation can take care of the </w:t>
      </w:r>
      <w:r>
        <w:t>“long periodicity”</w:t>
      </w:r>
      <w:r w:rsidR="00CE338C">
        <w:t xml:space="preserve"> via measurement configuration signalling or broadcast indication.</w:t>
      </w:r>
    </w:p>
    <w:p w14:paraId="16B7B43B" w14:textId="5A338AE7" w:rsidR="00CE338C" w:rsidRDefault="00CE338C" w:rsidP="00CE338C">
      <w:pPr>
        <w:rPr>
          <w:rFonts w:eastAsiaTheme="minorEastAsia"/>
          <w:b/>
          <w:lang w:eastAsia="zh-CN"/>
        </w:rPr>
      </w:pPr>
      <w:r w:rsidRPr="003F5DE6">
        <w:rPr>
          <w:rFonts w:eastAsiaTheme="minorEastAsia"/>
          <w:b/>
          <w:lang w:eastAsia="zh-CN"/>
        </w:rPr>
        <w:t xml:space="preserve">Observation </w:t>
      </w:r>
      <w:r>
        <w:rPr>
          <w:rFonts w:eastAsiaTheme="minorEastAsia"/>
          <w:b/>
          <w:lang w:eastAsia="zh-CN"/>
        </w:rPr>
        <w:t xml:space="preserve">2: It is up to network implementation to </w:t>
      </w:r>
      <w:r w:rsidRPr="004B5AF9">
        <w:rPr>
          <w:rFonts w:eastAsiaTheme="minorEastAsia"/>
          <w:b/>
          <w:lang w:eastAsia="zh-CN"/>
        </w:rPr>
        <w:t xml:space="preserve">configure UE to </w:t>
      </w:r>
      <w:r w:rsidR="00BA099D">
        <w:rPr>
          <w:rFonts w:eastAsiaTheme="minorEastAsia"/>
          <w:b/>
          <w:lang w:eastAsia="zh-CN"/>
        </w:rPr>
        <w:t>perform TN measurement immediately</w:t>
      </w:r>
      <w:r>
        <w:rPr>
          <w:rFonts w:eastAsiaTheme="minorEastAsia"/>
          <w:b/>
          <w:lang w:eastAsia="zh-CN"/>
        </w:rPr>
        <w:t xml:space="preserve"> at the border of TN coverage.</w:t>
      </w:r>
    </w:p>
    <w:p w14:paraId="014C908B" w14:textId="0664A05B" w:rsidR="000474DF" w:rsidRDefault="000474DF" w:rsidP="007A5D4B">
      <w:r>
        <w:t xml:space="preserve">As for how the </w:t>
      </w:r>
      <w:proofErr w:type="spellStart"/>
      <w:r>
        <w:t>gNB</w:t>
      </w:r>
      <w:proofErr w:type="spellEnd"/>
      <w:r>
        <w:t xml:space="preserve"> knows about the </w:t>
      </w:r>
      <w:r w:rsidR="00BA099D">
        <w:t xml:space="preserve">border </w:t>
      </w:r>
      <w:r>
        <w:t xml:space="preserve">information, there are </w:t>
      </w:r>
      <w:r w:rsidR="00CE338C">
        <w:t xml:space="preserve">two </w:t>
      </w:r>
      <w:r>
        <w:t>scenarios to consider:</w:t>
      </w:r>
    </w:p>
    <w:p w14:paraId="56AFC10A" w14:textId="5F69F2A2" w:rsidR="000474DF" w:rsidRPr="000474DF" w:rsidRDefault="000474DF" w:rsidP="000474DF">
      <w:pPr>
        <w:pStyle w:val="a7"/>
        <w:numPr>
          <w:ilvl w:val="0"/>
          <w:numId w:val="39"/>
        </w:numPr>
        <w:ind w:firstLineChars="0"/>
        <w:rPr>
          <w:rFonts w:eastAsiaTheme="minorEastAsia"/>
          <w:b/>
          <w:lang w:eastAsia="zh-CN"/>
        </w:rPr>
      </w:pPr>
      <w:r w:rsidRPr="00250996">
        <w:t>I</w:t>
      </w:r>
      <w:r w:rsidRPr="00250996">
        <w:rPr>
          <w:rFonts w:hint="eastAsia"/>
        </w:rPr>
        <w:t xml:space="preserve">f </w:t>
      </w:r>
      <w:r>
        <w:t xml:space="preserve">there is information </w:t>
      </w:r>
      <w:r w:rsidR="00FE298E">
        <w:t>ex</w:t>
      </w:r>
      <w:r>
        <w:t xml:space="preserve">changing between </w:t>
      </w:r>
      <w:r w:rsidRPr="00250996">
        <w:t>the NTN and TN,</w:t>
      </w:r>
      <w:r w:rsidR="00FE298E">
        <w:t xml:space="preserve"> </w:t>
      </w:r>
      <w:proofErr w:type="spellStart"/>
      <w:r w:rsidR="00FE298E">
        <w:t>gNB</w:t>
      </w:r>
      <w:proofErr w:type="spellEnd"/>
      <w:r w:rsidR="00FE298E">
        <w:t xml:space="preserve"> can know about the </w:t>
      </w:r>
      <w:r w:rsidR="00CE338C">
        <w:t xml:space="preserve">border </w:t>
      </w:r>
      <w:r w:rsidR="00FE298E">
        <w:t xml:space="preserve">information through </w:t>
      </w:r>
      <w:proofErr w:type="spellStart"/>
      <w:r w:rsidR="00CE338C">
        <w:t>Xn</w:t>
      </w:r>
      <w:proofErr w:type="spellEnd"/>
      <w:r w:rsidR="00CE338C">
        <w:t xml:space="preserve"> or core network </w:t>
      </w:r>
      <w:r w:rsidR="00FE298E">
        <w:t>interaction</w:t>
      </w:r>
      <w:r w:rsidRPr="00250996">
        <w:t>.</w:t>
      </w:r>
      <w:r w:rsidR="00D50A88">
        <w:t xml:space="preserve"> </w:t>
      </w:r>
    </w:p>
    <w:p w14:paraId="676E8C8A" w14:textId="0A2BFB71" w:rsidR="000474DF" w:rsidRPr="00D50A88" w:rsidRDefault="000474DF" w:rsidP="000474DF">
      <w:pPr>
        <w:pStyle w:val="a7"/>
        <w:numPr>
          <w:ilvl w:val="0"/>
          <w:numId w:val="39"/>
        </w:numPr>
        <w:ind w:firstLineChars="0"/>
        <w:rPr>
          <w:rFonts w:eastAsiaTheme="minorEastAsia"/>
          <w:b/>
          <w:lang w:eastAsia="zh-CN"/>
        </w:rPr>
      </w:pPr>
      <w:r w:rsidRPr="00250996">
        <w:t>If there is no information exchang</w:t>
      </w:r>
      <w:r w:rsidR="00FE298E">
        <w:t>ing</w:t>
      </w:r>
      <w:r w:rsidR="00D50A88">
        <w:t xml:space="preserve"> between </w:t>
      </w:r>
      <w:r w:rsidR="00D50A88" w:rsidRPr="00250996">
        <w:t>the NTN and TN</w:t>
      </w:r>
      <w:r w:rsidRPr="00250996">
        <w:t xml:space="preserve">, </w:t>
      </w:r>
      <w:proofErr w:type="spellStart"/>
      <w:r w:rsidR="00D50A88">
        <w:t>gNB</w:t>
      </w:r>
      <w:proofErr w:type="spellEnd"/>
      <w:r w:rsidR="00D50A88">
        <w:t xml:space="preserve"> should rely on assistance information from UEs to know about the </w:t>
      </w:r>
      <w:r w:rsidR="00CE338C">
        <w:t xml:space="preserve">border </w:t>
      </w:r>
      <w:r w:rsidR="00D50A88">
        <w:t xml:space="preserve">information. </w:t>
      </w:r>
    </w:p>
    <w:p w14:paraId="5431B03A" w14:textId="5459D3EC" w:rsidR="00D50A88" w:rsidRDefault="00D50A88" w:rsidP="00D50A88">
      <w:pPr>
        <w:rPr>
          <w:b/>
        </w:rPr>
      </w:pPr>
      <w:r>
        <w:rPr>
          <w:b/>
        </w:rPr>
        <w:t>Proposal</w:t>
      </w:r>
      <w:r w:rsidR="00CE338C">
        <w:rPr>
          <w:b/>
        </w:rPr>
        <w:t xml:space="preserve"> 1</w:t>
      </w:r>
      <w:r w:rsidRPr="00D50A88">
        <w:rPr>
          <w:b/>
        </w:rPr>
        <w:t xml:space="preserve">: </w:t>
      </w:r>
      <w:r w:rsidR="00BA099D">
        <w:rPr>
          <w:b/>
        </w:rPr>
        <w:t xml:space="preserve">The TN border information can be known by interaction between TN and NTN or by </w:t>
      </w:r>
      <w:r w:rsidR="00FE298E">
        <w:rPr>
          <w:b/>
        </w:rPr>
        <w:t>assistance information from UE</w:t>
      </w:r>
      <w:r w:rsidR="00BA099D">
        <w:rPr>
          <w:b/>
        </w:rPr>
        <w:t>s</w:t>
      </w:r>
      <w:r w:rsidRPr="00FE298E">
        <w:rPr>
          <w:b/>
        </w:rPr>
        <w:t>.</w:t>
      </w:r>
    </w:p>
    <w:p w14:paraId="426A2581" w14:textId="6C3AFB8D" w:rsidR="00FE298E" w:rsidRPr="00FE298E" w:rsidRDefault="00FE298E" w:rsidP="00D50A88">
      <w:pPr>
        <w:rPr>
          <w:rFonts w:eastAsiaTheme="minorEastAsia"/>
          <w:b/>
          <w:lang w:eastAsia="zh-CN"/>
        </w:rPr>
      </w:pPr>
      <w:r>
        <w:rPr>
          <w:rFonts w:eastAsiaTheme="minorEastAsia"/>
          <w:b/>
          <w:lang w:eastAsia="zh-CN"/>
        </w:rPr>
        <w:t xml:space="preserve">Proposal </w:t>
      </w:r>
      <w:r w:rsidR="00CE338C">
        <w:rPr>
          <w:rFonts w:eastAsiaTheme="minorEastAsia"/>
          <w:b/>
          <w:lang w:eastAsia="zh-CN"/>
        </w:rPr>
        <w:t>2</w:t>
      </w:r>
      <w:r>
        <w:rPr>
          <w:rFonts w:eastAsiaTheme="minorEastAsia"/>
          <w:b/>
          <w:lang w:eastAsia="zh-CN"/>
        </w:rPr>
        <w:t>: Capture the TP in Annex into TR.</w:t>
      </w:r>
    </w:p>
    <w:bookmarkEnd w:id="7"/>
    <w:bookmarkEnd w:id="8"/>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6C084FE3"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AC6CAF">
        <w:t>s</w:t>
      </w:r>
      <w:r w:rsidR="00AC6CAF" w:rsidRPr="00AC6CAF">
        <w:t xml:space="preserve">ervice continuity between Non-Terrestrial and Terrestrial Networks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56A97859" w14:textId="56AC47FE" w:rsidR="00CE338C" w:rsidRDefault="00BA099D" w:rsidP="00CE338C">
      <w:pPr>
        <w:spacing w:beforeLines="50" w:before="120" w:after="120"/>
        <w:rPr>
          <w:rFonts w:eastAsiaTheme="minorEastAsia"/>
          <w:b/>
          <w:lang w:eastAsia="zh-CN"/>
        </w:rPr>
      </w:pPr>
      <w:r>
        <w:rPr>
          <w:rFonts w:eastAsiaTheme="minorEastAsia"/>
          <w:b/>
          <w:lang w:eastAsia="zh-CN"/>
        </w:rPr>
        <w:t>Observation 1</w:t>
      </w:r>
      <w:r w:rsidRPr="005A2356">
        <w:rPr>
          <w:rFonts w:eastAsiaTheme="minorEastAsia"/>
          <w:b/>
          <w:lang w:eastAsia="zh-CN"/>
        </w:rPr>
        <w:t xml:space="preserve">: </w:t>
      </w:r>
      <w:r>
        <w:rPr>
          <w:rFonts w:eastAsiaTheme="minorEastAsia"/>
          <w:b/>
          <w:lang w:eastAsia="zh-CN"/>
        </w:rPr>
        <w:t>For timely TN measurement, the “</w:t>
      </w:r>
      <w:r w:rsidRPr="003104A4">
        <w:rPr>
          <w:rFonts w:eastAsiaTheme="minorEastAsia"/>
          <w:b/>
          <w:lang w:eastAsia="zh-CN"/>
        </w:rPr>
        <w:t>long periodicity</w:t>
      </w:r>
      <w:r>
        <w:rPr>
          <w:rFonts w:eastAsiaTheme="minorEastAsia"/>
          <w:b/>
          <w:lang w:eastAsia="zh-CN"/>
        </w:rPr>
        <w:t xml:space="preserve">” configuration should be stopped the moment TN border is detected. </w:t>
      </w:r>
      <w:r w:rsidR="00CE338C">
        <w:rPr>
          <w:rFonts w:eastAsiaTheme="minorEastAsia"/>
          <w:b/>
          <w:lang w:eastAsia="zh-CN"/>
        </w:rPr>
        <w:t xml:space="preserve"> </w:t>
      </w:r>
    </w:p>
    <w:p w14:paraId="3EA10B9A" w14:textId="77777777" w:rsidR="00BA099D" w:rsidRDefault="00BA099D" w:rsidP="00BA099D">
      <w:pPr>
        <w:rPr>
          <w:rFonts w:eastAsiaTheme="minorEastAsia"/>
          <w:b/>
          <w:lang w:eastAsia="zh-CN"/>
        </w:rPr>
      </w:pPr>
      <w:r w:rsidRPr="003F5DE6">
        <w:rPr>
          <w:rFonts w:eastAsiaTheme="minorEastAsia"/>
          <w:b/>
          <w:lang w:eastAsia="zh-CN"/>
        </w:rPr>
        <w:t xml:space="preserve">Observation </w:t>
      </w:r>
      <w:r>
        <w:rPr>
          <w:rFonts w:eastAsiaTheme="minorEastAsia"/>
          <w:b/>
          <w:lang w:eastAsia="zh-CN"/>
        </w:rPr>
        <w:t xml:space="preserve">2: It is up to network implementation to </w:t>
      </w:r>
      <w:r w:rsidRPr="004B5AF9">
        <w:rPr>
          <w:rFonts w:eastAsiaTheme="minorEastAsia"/>
          <w:b/>
          <w:lang w:eastAsia="zh-CN"/>
        </w:rPr>
        <w:t xml:space="preserve">configure UE to </w:t>
      </w:r>
      <w:r>
        <w:rPr>
          <w:rFonts w:eastAsiaTheme="minorEastAsia"/>
          <w:b/>
          <w:lang w:eastAsia="zh-CN"/>
        </w:rPr>
        <w:t>perform TN measurement immediately at the border of TN coverage.</w:t>
      </w:r>
    </w:p>
    <w:p w14:paraId="784A3EEC" w14:textId="77777777" w:rsidR="00BA099D" w:rsidRDefault="00BA099D" w:rsidP="00BA099D">
      <w:pPr>
        <w:rPr>
          <w:b/>
        </w:rPr>
      </w:pPr>
      <w:r>
        <w:rPr>
          <w:b/>
        </w:rPr>
        <w:lastRenderedPageBreak/>
        <w:t>Proposal 1</w:t>
      </w:r>
      <w:r w:rsidRPr="00D50A88">
        <w:rPr>
          <w:b/>
        </w:rPr>
        <w:t xml:space="preserve">: </w:t>
      </w:r>
      <w:r>
        <w:rPr>
          <w:b/>
        </w:rPr>
        <w:t>The TN border information can be known by interaction between TN and NTN or by assistance information from history UEs</w:t>
      </w:r>
      <w:r w:rsidRPr="00FE298E">
        <w:rPr>
          <w:b/>
        </w:rPr>
        <w:t>.</w:t>
      </w:r>
    </w:p>
    <w:p w14:paraId="12B92E88" w14:textId="67352BF7" w:rsidR="00634C57" w:rsidRPr="007A5D4B" w:rsidRDefault="00FE298E" w:rsidP="00AC6CAF">
      <w:pPr>
        <w:rPr>
          <w:rFonts w:eastAsiaTheme="minorEastAsia"/>
          <w:b/>
          <w:lang w:eastAsia="zh-CN"/>
        </w:rPr>
      </w:pPr>
      <w:r>
        <w:rPr>
          <w:rFonts w:eastAsiaTheme="minorEastAsia"/>
          <w:b/>
          <w:lang w:eastAsia="zh-CN"/>
        </w:rPr>
        <w:t xml:space="preserve">Proposal </w:t>
      </w:r>
      <w:r w:rsidR="00CE338C">
        <w:rPr>
          <w:rFonts w:eastAsiaTheme="minorEastAsia"/>
          <w:b/>
          <w:lang w:eastAsia="zh-CN"/>
        </w:rPr>
        <w:t>2</w:t>
      </w:r>
      <w:r w:rsidR="00634C57">
        <w:rPr>
          <w:rFonts w:eastAsiaTheme="minorEastAsia"/>
          <w:b/>
          <w:lang w:eastAsia="zh-CN"/>
        </w:rPr>
        <w:t>: Capture the TP in Annex into TR.</w:t>
      </w:r>
    </w:p>
    <w:p w14:paraId="34E976D5" w14:textId="77777777" w:rsidR="00866525" w:rsidRDefault="00866525" w:rsidP="00866525">
      <w:pPr>
        <w:pStyle w:val="1"/>
        <w:rPr>
          <w:lang w:eastAsia="zh-CN"/>
        </w:rPr>
      </w:pPr>
      <w:r>
        <w:rPr>
          <w:rFonts w:hint="eastAsia"/>
          <w:lang w:eastAsia="zh-CN"/>
        </w:rPr>
        <w:t>References</w:t>
      </w:r>
    </w:p>
    <w:p w14:paraId="4F271763" w14:textId="6BDBEB04" w:rsidR="008D73D0" w:rsidRDefault="00E16156" w:rsidP="00E16156">
      <w:pPr>
        <w:rPr>
          <w:lang w:eastAsia="zh-CN"/>
        </w:rPr>
      </w:pPr>
      <w:r>
        <w:rPr>
          <w:lang w:eastAsia="zh-CN"/>
        </w:rPr>
        <w:t>[1]</w:t>
      </w:r>
      <w:r>
        <w:rPr>
          <w:lang w:eastAsia="zh-CN"/>
        </w:rPr>
        <w:tab/>
      </w:r>
      <w:r>
        <w:rPr>
          <w:lang w:eastAsia="zh-CN"/>
        </w:rPr>
        <w:tab/>
      </w:r>
      <w:bookmarkStart w:id="9" w:name="_Toc423020280"/>
      <w:bookmarkEnd w:id="9"/>
      <w:r w:rsidR="008D73D0">
        <w:rPr>
          <w:lang w:eastAsia="zh-CN"/>
        </w:rPr>
        <w:t>R2-19</w:t>
      </w:r>
      <w:r w:rsidR="00A47844">
        <w:rPr>
          <w:lang w:eastAsia="zh-CN"/>
        </w:rPr>
        <w:t>10692</w:t>
      </w:r>
      <w:bookmarkStart w:id="10" w:name="_GoBack"/>
      <w:bookmarkEnd w:id="10"/>
      <w:r w:rsidR="008D73D0">
        <w:rPr>
          <w:lang w:eastAsia="zh-CN"/>
        </w:rPr>
        <w:t xml:space="preserve">, </w:t>
      </w:r>
      <w:r w:rsidR="008D73D0" w:rsidRPr="008D73D0">
        <w:rPr>
          <w:lang w:eastAsia="zh-CN"/>
        </w:rPr>
        <w:t>Report of Email Discussion [106#72] [NR/NTN] TP on NTN-TN Service continuity</w:t>
      </w:r>
      <w:r w:rsidR="008D73D0">
        <w:rPr>
          <w:lang w:eastAsia="zh-CN"/>
        </w:rPr>
        <w:t xml:space="preserve">, </w:t>
      </w:r>
      <w:r w:rsidR="008D73D0" w:rsidRPr="008D73D0">
        <w:rPr>
          <w:lang w:eastAsia="zh-CN"/>
        </w:rPr>
        <w:t>Nokia</w:t>
      </w:r>
    </w:p>
    <w:p w14:paraId="2A51E494" w14:textId="0D97E709" w:rsidR="003C34E4" w:rsidRDefault="00ED7B68" w:rsidP="003C34E4">
      <w:pPr>
        <w:pStyle w:val="1"/>
        <w:rPr>
          <w:lang w:eastAsia="zh-CN"/>
        </w:rPr>
      </w:pPr>
      <w:r>
        <w:rPr>
          <w:lang w:eastAsia="zh-CN"/>
        </w:rPr>
        <w:t>Text Proposal</w:t>
      </w:r>
    </w:p>
    <w:p w14:paraId="7CC12378" w14:textId="77777777" w:rsidR="00ED7B68" w:rsidRDefault="00ED7B68" w:rsidP="00ED7B68">
      <w:pPr>
        <w:pStyle w:val="Doc-title"/>
      </w:pPr>
      <w:r>
        <w:t>------ Start of TP ---------</w:t>
      </w:r>
    </w:p>
    <w:p w14:paraId="5CF964AD" w14:textId="77777777" w:rsidR="00ED7B68" w:rsidRDefault="00ED7B68" w:rsidP="00ED7B68">
      <w:pPr>
        <w:suppressAutoHyphens/>
        <w:overflowPunct w:val="0"/>
        <w:autoSpaceDE w:val="0"/>
        <w:spacing w:after="120"/>
        <w:jc w:val="both"/>
        <w:textAlignment w:val="baseline"/>
        <w:rPr>
          <w:lang w:eastAsia="zh-CN"/>
        </w:rPr>
      </w:pPr>
    </w:p>
    <w:p w14:paraId="7872BF03" w14:textId="77777777" w:rsidR="00ED7B68" w:rsidRDefault="00ED7B68" w:rsidP="00ED7B68">
      <w:pPr>
        <w:rPr>
          <w:rFonts w:ascii="Calibri" w:hAnsi="Calibri" w:cs="Calibri"/>
          <w:lang w:val="en-US" w:eastAsia="en-IN"/>
        </w:rPr>
      </w:pPr>
      <w:r>
        <w:rPr>
          <w:lang w:val="en-US"/>
        </w:rPr>
        <w:t xml:space="preserve">5.4.1 </w:t>
      </w:r>
      <w:r>
        <w:rPr>
          <w:lang w:val="en-US"/>
        </w:rPr>
        <w:tab/>
        <w:t>Scope</w:t>
      </w:r>
    </w:p>
    <w:p w14:paraId="3883C8DB" w14:textId="0F78B328" w:rsidR="00ED7B68" w:rsidRPr="007732AF" w:rsidRDefault="00ED7B68" w:rsidP="00ED7B68">
      <w:pPr>
        <w:rPr>
          <w:rFonts w:eastAsia="Malgun Gothic"/>
          <w:lang w:val="en-US" w:eastAsia="ko-KR"/>
        </w:rPr>
      </w:pPr>
      <w:r>
        <w:rPr>
          <w:lang w:val="en-US"/>
        </w:rPr>
        <w:t xml:space="preserve">The focus of the NTN-TN service continuity and mobility studies should be on mechanisms to minimize specification impact for cases where UE’s connectivity changes from the NTN to TN (‘hand-in’) and where UE’s connectivity changes from the TN to NTN (‘hand-out’). </w:t>
      </w:r>
      <w:r>
        <w:rPr>
          <w:lang w:val="en-US" w:eastAsia="ko-KR"/>
        </w:rPr>
        <w:t xml:space="preserve">Coverage mechanisms, including inter-frequency and intra-frequency </w:t>
      </w:r>
      <w:r>
        <w:rPr>
          <w:lang w:val="en-US"/>
        </w:rPr>
        <w:t xml:space="preserve">service continuity and </w:t>
      </w:r>
      <w:r>
        <w:rPr>
          <w:lang w:val="en-US" w:eastAsia="ko-KR"/>
        </w:rPr>
        <w:t xml:space="preserve">mobility mechanisms are to be considered as baseline solutions. The NR Release 15-16 </w:t>
      </w:r>
      <w:r>
        <w:rPr>
          <w:lang w:val="en-US"/>
        </w:rPr>
        <w:t xml:space="preserve">service continuity and </w:t>
      </w:r>
      <w:r>
        <w:rPr>
          <w:lang w:val="en-US" w:eastAsia="ko-KR"/>
        </w:rPr>
        <w:t xml:space="preserve">mobility mechanisms shall be considered also for the NTN-TN </w:t>
      </w:r>
      <w:r>
        <w:rPr>
          <w:lang w:val="en-US"/>
        </w:rPr>
        <w:t>service continuity and mobility studies.</w:t>
      </w:r>
    </w:p>
    <w:p w14:paraId="5630E165" w14:textId="77777777" w:rsidR="007732AF" w:rsidRDefault="007732AF" w:rsidP="00ED7B68">
      <w:pPr>
        <w:rPr>
          <w:lang w:val="en-US"/>
        </w:rPr>
      </w:pPr>
    </w:p>
    <w:p w14:paraId="32BD4922" w14:textId="77777777" w:rsidR="00ED7B68" w:rsidRDefault="00ED7B68" w:rsidP="00ED7B68">
      <w:pPr>
        <w:rPr>
          <w:lang w:val="en-US"/>
        </w:rPr>
      </w:pPr>
      <w:r>
        <w:rPr>
          <w:lang w:val="en-US"/>
        </w:rPr>
        <w:t xml:space="preserve">5.4.2 </w:t>
      </w:r>
      <w:r>
        <w:rPr>
          <w:lang w:val="en-US"/>
        </w:rPr>
        <w:tab/>
        <w:t xml:space="preserve">Reference scenario </w:t>
      </w:r>
    </w:p>
    <w:p w14:paraId="22AB7372" w14:textId="77777777" w:rsidR="00ED7B68" w:rsidRDefault="00ED7B68" w:rsidP="00ED7B68">
      <w:pPr>
        <w:rPr>
          <w:lang w:val="en-US" w:eastAsia="ko-KR"/>
        </w:rPr>
      </w:pPr>
      <w:r>
        <w:rPr>
          <w:lang w:val="en-US"/>
        </w:rPr>
        <w:t xml:space="preserve">It is recommended to use a reference scenario for </w:t>
      </w:r>
      <w:r>
        <w:rPr>
          <w:lang w:val="en-US" w:eastAsia="ko-KR"/>
        </w:rPr>
        <w:t xml:space="preserve">NTN-TN </w:t>
      </w:r>
      <w:r>
        <w:rPr>
          <w:lang w:val="en-US"/>
        </w:rPr>
        <w:t>service continuity and mobility studies</w:t>
      </w:r>
      <w:r>
        <w:rPr>
          <w:lang w:val="en-US" w:eastAsia="ko-KR"/>
        </w:rPr>
        <w:t xml:space="preserve">, </w:t>
      </w:r>
      <w:r>
        <w:rPr>
          <w:lang w:val="en-US"/>
        </w:rPr>
        <w:t>defined as follows:</w:t>
      </w:r>
    </w:p>
    <w:p w14:paraId="2678AAF1" w14:textId="77777777" w:rsidR="00ED7B68" w:rsidRDefault="00ED7B68" w:rsidP="00ED7B68">
      <w:pPr>
        <w:numPr>
          <w:ilvl w:val="0"/>
          <w:numId w:val="42"/>
        </w:numPr>
        <w:overflowPunct w:val="0"/>
        <w:autoSpaceDE w:val="0"/>
        <w:spacing w:after="120"/>
        <w:jc w:val="both"/>
        <w:rPr>
          <w:rFonts w:eastAsia="Times New Roman"/>
          <w:lang w:val="en-US" w:eastAsia="ko-KR"/>
        </w:rPr>
      </w:pPr>
      <w:r>
        <w:rPr>
          <w:rFonts w:eastAsia="Times New Roman"/>
          <w:lang w:val="en-US" w:eastAsia="ko-KR"/>
        </w:rPr>
        <w:t>A multi-cell TN network-border coverage is available according to an outdoor rural NR scenario (e.g. Table 6.1.3-1 in TR38.913)</w:t>
      </w:r>
    </w:p>
    <w:p w14:paraId="7E42A0CF" w14:textId="77777777" w:rsidR="00ED7B68" w:rsidRDefault="00ED7B68" w:rsidP="00ED7B68">
      <w:pPr>
        <w:numPr>
          <w:ilvl w:val="0"/>
          <w:numId w:val="42"/>
        </w:numPr>
        <w:overflowPunct w:val="0"/>
        <w:autoSpaceDE w:val="0"/>
        <w:spacing w:after="120"/>
        <w:jc w:val="both"/>
        <w:rPr>
          <w:rFonts w:eastAsia="Times New Roman"/>
          <w:lang w:val="en-US" w:eastAsia="ko-KR"/>
        </w:rPr>
      </w:pPr>
      <w:r>
        <w:rPr>
          <w:rFonts w:eastAsia="Times New Roman"/>
          <w:lang w:val="en-US" w:eastAsia="ko-KR"/>
        </w:rPr>
        <w:t>One NTN LEO satellite provides multi-cell coverage with moving cells on Earth (the satellite NR cells are modelled according to NTN assumptions, Table 6.1.1-1 &amp; 4 in TR38.821 v0.7.0)</w:t>
      </w:r>
    </w:p>
    <w:p w14:paraId="367B4467" w14:textId="250F4759" w:rsidR="00ED7B68" w:rsidRPr="007732AF" w:rsidRDefault="00ED7B68" w:rsidP="00ED7B68">
      <w:pPr>
        <w:numPr>
          <w:ilvl w:val="0"/>
          <w:numId w:val="42"/>
        </w:numPr>
        <w:overflowPunct w:val="0"/>
        <w:autoSpaceDE w:val="0"/>
        <w:spacing w:after="120"/>
        <w:jc w:val="both"/>
        <w:rPr>
          <w:rFonts w:eastAsia="Times New Roman"/>
          <w:lang w:val="en-US" w:eastAsia="ko-KR"/>
        </w:rPr>
      </w:pPr>
      <w:r>
        <w:rPr>
          <w:rFonts w:eastAsia="Times New Roman"/>
          <w:lang w:val="en-US" w:eastAsia="ko-KR"/>
        </w:rPr>
        <w:t>Outdoor handheld (pedestrian) UEs or VSAT (vehicular relay) UEs are capable of TN and NTN connectivity (for NTN UE use Table 6.1.1-3 in TR38.821 v0.7.0)</w:t>
      </w:r>
    </w:p>
    <w:p w14:paraId="2C43C525" w14:textId="77777777" w:rsidR="007732AF" w:rsidRDefault="007732AF" w:rsidP="00ED7B68">
      <w:pPr>
        <w:rPr>
          <w:lang w:val="en-US"/>
        </w:rPr>
      </w:pPr>
    </w:p>
    <w:p w14:paraId="31FBF7CA" w14:textId="77777777" w:rsidR="00ED7B68" w:rsidRDefault="00ED7B68" w:rsidP="00ED7B68">
      <w:pPr>
        <w:rPr>
          <w:lang w:val="en-US"/>
        </w:rPr>
      </w:pPr>
      <w:r>
        <w:rPr>
          <w:lang w:val="en-US"/>
        </w:rPr>
        <w:t xml:space="preserve">5.4.3 </w:t>
      </w:r>
      <w:r>
        <w:rPr>
          <w:lang w:val="en-US"/>
        </w:rPr>
        <w:tab/>
        <w:t xml:space="preserve">Assumptions </w:t>
      </w:r>
    </w:p>
    <w:p w14:paraId="2A5DC817" w14:textId="77777777" w:rsidR="00ED7B68" w:rsidRDefault="00ED7B68" w:rsidP="00ED7B68">
      <w:pPr>
        <w:rPr>
          <w:lang w:val="en-US" w:eastAsia="en-IN"/>
        </w:rPr>
      </w:pPr>
      <w:r>
        <w:rPr>
          <w:lang w:val="en-US"/>
        </w:rPr>
        <w:t xml:space="preserve">The baseline solutions for NTN-TN service continuity and mobility shall rely only on the detection of TN coverage edge </w:t>
      </w:r>
      <w:r w:rsidRPr="00CB7325">
        <w:rPr>
          <w:lang w:val="en-US"/>
        </w:rPr>
        <w:t>using RSRP/RSRQ threshold and/or PLMN indication.</w:t>
      </w:r>
      <w:r>
        <w:rPr>
          <w:lang w:val="en-US"/>
        </w:rPr>
        <w:t xml:space="preserve"> Furthermore, a UE configuration (provided by the serving RAN) with long periodicity (less frequent measurements) where the UE attempts to detect possible TN coverage even when being served by NTN cell shall be assumed as baseline.</w:t>
      </w:r>
    </w:p>
    <w:p w14:paraId="6AD1EDAC" w14:textId="77777777" w:rsidR="00ED7B68" w:rsidRDefault="00ED7B68" w:rsidP="00ED7B68">
      <w:pPr>
        <w:rPr>
          <w:sz w:val="22"/>
          <w:szCs w:val="22"/>
          <w:lang w:val="en-US"/>
        </w:rPr>
      </w:pPr>
      <w:r>
        <w:rPr>
          <w:lang w:val="en-US"/>
        </w:rPr>
        <w:t>Further enhancements including the use of any combination of RSRP/RSRQ threshold, PLMN indication, UE location, distance to cell center, are not precluded.</w:t>
      </w:r>
    </w:p>
    <w:p w14:paraId="1297DF17" w14:textId="77777777" w:rsidR="00ED7B68" w:rsidRDefault="00ED7B68" w:rsidP="00ED7B68">
      <w:pPr>
        <w:rPr>
          <w:lang w:val="en-US"/>
        </w:rPr>
      </w:pPr>
      <w:r>
        <w:rPr>
          <w:lang w:val="en-US"/>
        </w:rPr>
        <w:t xml:space="preserve">The NTN-TN service continuity and </w:t>
      </w:r>
      <w:r>
        <w:rPr>
          <w:lang w:val="en-US" w:eastAsia="ko-KR"/>
        </w:rPr>
        <w:t xml:space="preserve">mobility </w:t>
      </w:r>
      <w:r>
        <w:rPr>
          <w:lang w:val="en-US"/>
        </w:rPr>
        <w:t xml:space="preserve">mechanisms targeted to </w:t>
      </w:r>
      <w:r>
        <w:rPr>
          <w:lang w:val="en-US" w:eastAsia="ko-KR"/>
        </w:rPr>
        <w:t xml:space="preserve">minimizing UE power consumption, e.g. </w:t>
      </w:r>
      <w:r>
        <w:rPr>
          <w:lang w:val="en-US"/>
        </w:rPr>
        <w:t>DRX enhancement solutions</w:t>
      </w:r>
      <w:r>
        <w:rPr>
          <w:lang w:val="en-US" w:eastAsia="ko-KR"/>
        </w:rPr>
        <w:t xml:space="preserve"> are only a secondary priority. </w:t>
      </w:r>
      <w:r>
        <w:rPr>
          <w:lang w:val="en-US"/>
        </w:rPr>
        <w:t> </w:t>
      </w:r>
    </w:p>
    <w:p w14:paraId="66981D75" w14:textId="675635B8" w:rsidR="00ED7B68" w:rsidRDefault="00ED7B68" w:rsidP="00ED7B68">
      <w:pPr>
        <w:suppressAutoHyphens/>
        <w:overflowPunct w:val="0"/>
        <w:autoSpaceDE w:val="0"/>
        <w:spacing w:after="120"/>
        <w:jc w:val="both"/>
        <w:textAlignment w:val="baseline"/>
        <w:rPr>
          <w:lang w:eastAsia="zh-CN"/>
        </w:rPr>
      </w:pPr>
      <w:r>
        <w:rPr>
          <w:lang w:val="en-US"/>
        </w:rPr>
        <w:t>The study of d</w:t>
      </w:r>
      <w:r>
        <w:rPr>
          <w:lang w:val="en-US" w:eastAsia="ko-KR"/>
        </w:rPr>
        <w:t>ual-connectivity mechanisms between NTN</w:t>
      </w:r>
      <w:r>
        <w:rPr>
          <w:lang w:val="en-US"/>
        </w:rPr>
        <w:t xml:space="preserve"> and TN, in the baseline NTN-TN service continuity and mobility solutions </w:t>
      </w:r>
      <w:r>
        <w:rPr>
          <w:lang w:val="en-US" w:eastAsia="ko-KR"/>
        </w:rPr>
        <w:t>is a secondary priority.</w:t>
      </w:r>
    </w:p>
    <w:p w14:paraId="74AEFED2" w14:textId="77777777" w:rsidR="00ED7B68" w:rsidRDefault="00ED7B68" w:rsidP="00ED7B68">
      <w:pPr>
        <w:suppressAutoHyphens/>
        <w:overflowPunct w:val="0"/>
        <w:autoSpaceDE w:val="0"/>
        <w:spacing w:after="120"/>
        <w:jc w:val="both"/>
        <w:textAlignment w:val="baseline"/>
        <w:rPr>
          <w:lang w:eastAsia="zh-CN"/>
        </w:rPr>
      </w:pPr>
    </w:p>
    <w:p w14:paraId="67C5CCE2" w14:textId="52D5FF42" w:rsidR="003C34E4" w:rsidRPr="00ED7B68" w:rsidRDefault="00ED7B68" w:rsidP="00ED7B68">
      <w:pPr>
        <w:suppressAutoHyphens/>
        <w:overflowPunct w:val="0"/>
        <w:autoSpaceDE w:val="0"/>
        <w:spacing w:after="120"/>
        <w:jc w:val="both"/>
        <w:textAlignment w:val="baseline"/>
        <w:rPr>
          <w:rFonts w:ascii="Arial" w:hAnsi="Arial" w:cs="Arial"/>
          <w:lang w:val="en-US" w:eastAsia="zh-CN"/>
        </w:rPr>
      </w:pPr>
      <w:r w:rsidRPr="00ED7B68">
        <w:rPr>
          <w:rFonts w:ascii="Arial" w:hAnsi="Arial" w:cs="Arial"/>
          <w:lang w:val="en-US" w:eastAsia="zh-CN"/>
        </w:rPr>
        <w:t>5.4.4</w:t>
      </w:r>
      <w:r>
        <w:rPr>
          <w:rFonts w:ascii="Arial" w:hAnsi="Arial" w:cs="Arial"/>
          <w:lang w:val="en-US" w:eastAsia="zh-CN"/>
        </w:rPr>
        <w:t xml:space="preserve"> </w:t>
      </w:r>
      <w:r w:rsidR="004C26D1">
        <w:rPr>
          <w:rFonts w:ascii="Arial" w:hAnsi="Arial" w:cs="Arial"/>
          <w:lang w:val="en-US" w:eastAsia="zh-CN"/>
        </w:rPr>
        <w:t xml:space="preserve">  </w:t>
      </w:r>
      <w:r w:rsidR="007B10A2">
        <w:rPr>
          <w:rFonts w:ascii="Arial" w:hAnsi="Arial" w:cs="Arial"/>
          <w:lang w:val="en-US" w:eastAsia="zh-CN"/>
        </w:rPr>
        <w:t>Solutions</w:t>
      </w:r>
    </w:p>
    <w:p w14:paraId="472F9053" w14:textId="16A3C410" w:rsidR="007B10A2" w:rsidRPr="007B10A2" w:rsidRDefault="007B10A2" w:rsidP="007B10A2">
      <w:pPr>
        <w:spacing w:beforeLines="50" w:before="120" w:after="120"/>
        <w:rPr>
          <w:rFonts w:eastAsiaTheme="minorEastAsia"/>
          <w:lang w:eastAsia="zh-CN"/>
        </w:rPr>
      </w:pPr>
      <w:r w:rsidRPr="007B10A2">
        <w:rPr>
          <w:rFonts w:eastAsiaTheme="minorEastAsia"/>
          <w:lang w:eastAsia="zh-CN"/>
        </w:rPr>
        <w:t>The “long periodicity” configuration should be stopped the moment TN border is detected. And it is up to network implementation to configure UE to perform TN measurement immediately at the border of TN coverage via measurement configuration signalling or broadcast indication.</w:t>
      </w:r>
    </w:p>
    <w:p w14:paraId="32E9B192" w14:textId="1523F594" w:rsidR="003E7976" w:rsidRDefault="007B10A2" w:rsidP="003E7976">
      <w:pPr>
        <w:rPr>
          <w:lang w:eastAsia="zh-CN"/>
        </w:rPr>
      </w:pPr>
      <w:r w:rsidRPr="007B10A2">
        <w:t>The TN border information can be known by interaction between TN and NTN or by assistance information from UEs</w:t>
      </w:r>
      <w:r>
        <w:t>, depending on the deployments</w:t>
      </w:r>
      <w:r w:rsidRPr="007B10A2">
        <w:t>.</w:t>
      </w:r>
    </w:p>
    <w:p w14:paraId="03F8FCCE" w14:textId="77777777" w:rsidR="003E7976" w:rsidRDefault="003E7976" w:rsidP="003E7976">
      <w:pPr>
        <w:spacing w:beforeLines="50" w:before="120" w:after="120"/>
        <w:jc w:val="center"/>
        <w:rPr>
          <w:rFonts w:eastAsiaTheme="minorEastAsia"/>
          <w:lang w:eastAsia="zh-CN"/>
        </w:rPr>
      </w:pPr>
      <w:r>
        <w:object w:dxaOrig="6735" w:dyaOrig="4515" w14:anchorId="26FAF0EA">
          <v:shape id="_x0000_i1026" type="#_x0000_t75" style="width:263.2pt;height:177.2pt" o:ole="">
            <v:imagedata r:id="rId8" o:title=""/>
          </v:shape>
          <o:OLEObject Type="Embed" ProgID="Visio.Drawing.15" ShapeID="_x0000_i1026" DrawAspect="Content" ObjectID="_1627455206" r:id="rId10"/>
        </w:object>
      </w:r>
    </w:p>
    <w:p w14:paraId="3799FD4E" w14:textId="37C7D32F" w:rsidR="00ED7B68" w:rsidRDefault="007B10A2" w:rsidP="00ED7B68">
      <w:pPr>
        <w:rPr>
          <w:rFonts w:eastAsiaTheme="minorEastAsia"/>
          <w:b/>
          <w:lang w:eastAsia="zh-CN"/>
        </w:rPr>
      </w:pPr>
      <w:r>
        <w:rPr>
          <w:b/>
        </w:rPr>
        <w:t>Figure 5.1</w:t>
      </w:r>
      <w:r w:rsidR="003E7976">
        <w:rPr>
          <w:b/>
        </w:rPr>
        <w:t xml:space="preserve"> </w:t>
      </w:r>
      <w:r>
        <w:rPr>
          <w:b/>
        </w:rPr>
        <w:t>Serving continuity between NTN and TN</w:t>
      </w:r>
    </w:p>
    <w:p w14:paraId="3BF2C3C9" w14:textId="77777777" w:rsidR="00ED7B68" w:rsidRPr="008B1D35" w:rsidRDefault="00ED7B68" w:rsidP="00ED7B68">
      <w:pPr>
        <w:pStyle w:val="Doc-text2"/>
        <w:ind w:left="0" w:firstLine="0"/>
        <w:rPr>
          <w:lang w:eastAsia="en-GB"/>
        </w:rPr>
      </w:pPr>
      <w:r>
        <w:rPr>
          <w:lang w:eastAsia="en-GB"/>
        </w:rPr>
        <w:t>------- End of TP ---------</w:t>
      </w:r>
    </w:p>
    <w:p w14:paraId="72BC46BD" w14:textId="77777777" w:rsidR="00ED7B68" w:rsidRPr="00ED7B68" w:rsidRDefault="00ED7B68" w:rsidP="00ED7B68">
      <w:pPr>
        <w:rPr>
          <w:rFonts w:eastAsiaTheme="minorEastAsia"/>
          <w:b/>
          <w:lang w:eastAsia="zh-CN"/>
        </w:rPr>
      </w:pPr>
    </w:p>
    <w:sectPr w:rsidR="00ED7B68" w:rsidRPr="00ED7B68" w:rsidSect="006768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B1054" w14:textId="77777777" w:rsidR="003A05B5" w:rsidRDefault="003A05B5">
      <w:pPr>
        <w:spacing w:after="0"/>
      </w:pPr>
      <w:r>
        <w:separator/>
      </w:r>
    </w:p>
  </w:endnote>
  <w:endnote w:type="continuationSeparator" w:id="0">
    <w:p w14:paraId="79E4B9E6" w14:textId="77777777" w:rsidR="003A05B5" w:rsidRDefault="003A05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AEFA7" w14:textId="77777777" w:rsidR="003A05B5" w:rsidRDefault="003A05B5">
      <w:pPr>
        <w:spacing w:after="0"/>
      </w:pPr>
      <w:r>
        <w:separator/>
      </w:r>
    </w:p>
  </w:footnote>
  <w:footnote w:type="continuationSeparator" w:id="0">
    <w:p w14:paraId="7DF0107A" w14:textId="77777777" w:rsidR="003A05B5" w:rsidRDefault="003A05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F112DAC4"/>
    <w:lvl w:ilvl="0">
      <w:start w:val="1"/>
      <w:numFmt w:val="decimal"/>
      <w:pStyle w:val="1"/>
      <w:suff w:val="nothing"/>
      <w:lvlText w:val="%1  "/>
      <w:lvlJc w:val="left"/>
      <w:pPr>
        <w:ind w:left="0" w:firstLine="0"/>
      </w:pPr>
      <w:rPr>
        <w:rFonts w:ascii="Arial" w:eastAsia="黑体" w:hAnsi="Arial" w:hint="default"/>
        <w:b w:val="0"/>
        <w:i w:val="0"/>
        <w:sz w:val="32"/>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1"/>
      </w:rPr>
    </w:lvl>
    <w:lvl w:ilvl="3">
      <w:start w:val="1"/>
      <w:numFmt w:val="decimal"/>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321D2C"/>
    <w:multiLevelType w:val="hybridMultilevel"/>
    <w:tmpl w:val="C3344E50"/>
    <w:lvl w:ilvl="0" w:tplc="04090011">
      <w:start w:val="1"/>
      <w:numFmt w:val="decimal"/>
      <w:lvlText w:val="%1)"/>
      <w:lvlJc w:val="left"/>
      <w:pPr>
        <w:ind w:left="721" w:hanging="420"/>
      </w:p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7686F5B"/>
    <w:multiLevelType w:val="hybridMultilevel"/>
    <w:tmpl w:val="A3628A9A"/>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841B5A"/>
    <w:multiLevelType w:val="hybridMultilevel"/>
    <w:tmpl w:val="022ED7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B2EDD"/>
    <w:multiLevelType w:val="hybridMultilevel"/>
    <w:tmpl w:val="6C7AE7F6"/>
    <w:lvl w:ilvl="0" w:tplc="0986D30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B997F18"/>
    <w:multiLevelType w:val="hybridMultilevel"/>
    <w:tmpl w:val="FDA2B8AC"/>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7"/>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6"/>
  </w:num>
  <w:num w:numId="9">
    <w:abstractNumId w:val="17"/>
  </w:num>
  <w:num w:numId="10">
    <w:abstractNumId w:val="1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1"/>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5"/>
  </w:num>
  <w:num w:numId="18">
    <w:abstractNumId w:val="11"/>
  </w:num>
  <w:num w:numId="19">
    <w:abstractNumId w:val="22"/>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20"/>
  </w:num>
  <w:num w:numId="33">
    <w:abstractNumId w:val="24"/>
  </w:num>
  <w:num w:numId="34">
    <w:abstractNumId w:val="24"/>
  </w:num>
  <w:num w:numId="35">
    <w:abstractNumId w:val="3"/>
  </w:num>
  <w:num w:numId="36">
    <w:abstractNumId w:val="3"/>
  </w:num>
  <w:num w:numId="37">
    <w:abstractNumId w:val="3"/>
  </w:num>
  <w:num w:numId="38">
    <w:abstractNumId w:val="23"/>
  </w:num>
  <w:num w:numId="39">
    <w:abstractNumId w:val="8"/>
  </w:num>
  <w:num w:numId="40">
    <w:abstractNumId w:val="6"/>
  </w:num>
  <w:num w:numId="41">
    <w:abstractNumId w:val="10"/>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10"/>
    <w:rsid w:val="00035A70"/>
    <w:rsid w:val="00040089"/>
    <w:rsid w:val="000439FC"/>
    <w:rsid w:val="000474DF"/>
    <w:rsid w:val="000554F6"/>
    <w:rsid w:val="00057506"/>
    <w:rsid w:val="00057918"/>
    <w:rsid w:val="00062C81"/>
    <w:rsid w:val="00065C00"/>
    <w:rsid w:val="00070873"/>
    <w:rsid w:val="00070A2C"/>
    <w:rsid w:val="0007380E"/>
    <w:rsid w:val="000761E3"/>
    <w:rsid w:val="00090D9C"/>
    <w:rsid w:val="00097277"/>
    <w:rsid w:val="000B45F5"/>
    <w:rsid w:val="000B55BA"/>
    <w:rsid w:val="000C6C7A"/>
    <w:rsid w:val="000C7D54"/>
    <w:rsid w:val="000D11F8"/>
    <w:rsid w:val="000D4314"/>
    <w:rsid w:val="000D4602"/>
    <w:rsid w:val="000F5C43"/>
    <w:rsid w:val="001036D0"/>
    <w:rsid w:val="00103AD0"/>
    <w:rsid w:val="00107FD0"/>
    <w:rsid w:val="0012213C"/>
    <w:rsid w:val="00131E9B"/>
    <w:rsid w:val="00140DF1"/>
    <w:rsid w:val="00141503"/>
    <w:rsid w:val="00142078"/>
    <w:rsid w:val="00147254"/>
    <w:rsid w:val="001526DB"/>
    <w:rsid w:val="001543C8"/>
    <w:rsid w:val="001569EF"/>
    <w:rsid w:val="00157A0C"/>
    <w:rsid w:val="00157B7E"/>
    <w:rsid w:val="00163A72"/>
    <w:rsid w:val="00172730"/>
    <w:rsid w:val="00172ACB"/>
    <w:rsid w:val="00181168"/>
    <w:rsid w:val="0018649F"/>
    <w:rsid w:val="00197E33"/>
    <w:rsid w:val="001A4E52"/>
    <w:rsid w:val="001A7090"/>
    <w:rsid w:val="001B4DEC"/>
    <w:rsid w:val="001C337C"/>
    <w:rsid w:val="001C6B9A"/>
    <w:rsid w:val="001D31BA"/>
    <w:rsid w:val="001E022D"/>
    <w:rsid w:val="001F2026"/>
    <w:rsid w:val="00200CF3"/>
    <w:rsid w:val="00205835"/>
    <w:rsid w:val="0021498D"/>
    <w:rsid w:val="0021642E"/>
    <w:rsid w:val="00223C39"/>
    <w:rsid w:val="00227115"/>
    <w:rsid w:val="0022796B"/>
    <w:rsid w:val="002377EE"/>
    <w:rsid w:val="00240E1B"/>
    <w:rsid w:val="00247B21"/>
    <w:rsid w:val="002506FF"/>
    <w:rsid w:val="00254D66"/>
    <w:rsid w:val="00256B99"/>
    <w:rsid w:val="00265325"/>
    <w:rsid w:val="002667D7"/>
    <w:rsid w:val="0028489E"/>
    <w:rsid w:val="002A3E99"/>
    <w:rsid w:val="002A555A"/>
    <w:rsid w:val="002B24FA"/>
    <w:rsid w:val="002B7F40"/>
    <w:rsid w:val="002C5CBD"/>
    <w:rsid w:val="002C658F"/>
    <w:rsid w:val="002C6C9C"/>
    <w:rsid w:val="002D1334"/>
    <w:rsid w:val="002D2571"/>
    <w:rsid w:val="002D2D38"/>
    <w:rsid w:val="002D6C91"/>
    <w:rsid w:val="002E0830"/>
    <w:rsid w:val="002E1E7A"/>
    <w:rsid w:val="002E7537"/>
    <w:rsid w:val="002F09A2"/>
    <w:rsid w:val="002F3A33"/>
    <w:rsid w:val="002F5C4B"/>
    <w:rsid w:val="002F7095"/>
    <w:rsid w:val="003057E3"/>
    <w:rsid w:val="00306227"/>
    <w:rsid w:val="003104A4"/>
    <w:rsid w:val="003234BE"/>
    <w:rsid w:val="00344445"/>
    <w:rsid w:val="003469BF"/>
    <w:rsid w:val="00354E70"/>
    <w:rsid w:val="00356AEC"/>
    <w:rsid w:val="0036170E"/>
    <w:rsid w:val="00376B98"/>
    <w:rsid w:val="00383136"/>
    <w:rsid w:val="00386AF8"/>
    <w:rsid w:val="00390673"/>
    <w:rsid w:val="00390952"/>
    <w:rsid w:val="003A05B5"/>
    <w:rsid w:val="003A16B3"/>
    <w:rsid w:val="003B3012"/>
    <w:rsid w:val="003B55A6"/>
    <w:rsid w:val="003C34E4"/>
    <w:rsid w:val="003E02EE"/>
    <w:rsid w:val="003E252C"/>
    <w:rsid w:val="003E3F80"/>
    <w:rsid w:val="003E541F"/>
    <w:rsid w:val="003E7976"/>
    <w:rsid w:val="003F1E34"/>
    <w:rsid w:val="003F4F8E"/>
    <w:rsid w:val="003F54C2"/>
    <w:rsid w:val="003F629A"/>
    <w:rsid w:val="003F7B4D"/>
    <w:rsid w:val="00407CA4"/>
    <w:rsid w:val="00416574"/>
    <w:rsid w:val="00433106"/>
    <w:rsid w:val="00443C82"/>
    <w:rsid w:val="00446772"/>
    <w:rsid w:val="00455EC9"/>
    <w:rsid w:val="004706A0"/>
    <w:rsid w:val="0048736B"/>
    <w:rsid w:val="004940D1"/>
    <w:rsid w:val="004A24CD"/>
    <w:rsid w:val="004B0955"/>
    <w:rsid w:val="004B5AF9"/>
    <w:rsid w:val="004C2615"/>
    <w:rsid w:val="004C26D1"/>
    <w:rsid w:val="004E0014"/>
    <w:rsid w:val="004E45A4"/>
    <w:rsid w:val="004F0207"/>
    <w:rsid w:val="004F4B8F"/>
    <w:rsid w:val="00503128"/>
    <w:rsid w:val="00512DA2"/>
    <w:rsid w:val="00516B3F"/>
    <w:rsid w:val="00532759"/>
    <w:rsid w:val="00540CAB"/>
    <w:rsid w:val="00540E48"/>
    <w:rsid w:val="005419ED"/>
    <w:rsid w:val="00556C6E"/>
    <w:rsid w:val="0055756D"/>
    <w:rsid w:val="00565AAE"/>
    <w:rsid w:val="00567147"/>
    <w:rsid w:val="0057135F"/>
    <w:rsid w:val="0057303C"/>
    <w:rsid w:val="00574477"/>
    <w:rsid w:val="005856BC"/>
    <w:rsid w:val="00594C12"/>
    <w:rsid w:val="005A2356"/>
    <w:rsid w:val="005A5E58"/>
    <w:rsid w:val="005B2192"/>
    <w:rsid w:val="005B748F"/>
    <w:rsid w:val="005C200E"/>
    <w:rsid w:val="005C44CF"/>
    <w:rsid w:val="005C5A6C"/>
    <w:rsid w:val="005F7714"/>
    <w:rsid w:val="006278F7"/>
    <w:rsid w:val="00632C39"/>
    <w:rsid w:val="00634A09"/>
    <w:rsid w:val="00634C57"/>
    <w:rsid w:val="006400AB"/>
    <w:rsid w:val="00642666"/>
    <w:rsid w:val="0064509E"/>
    <w:rsid w:val="006528E5"/>
    <w:rsid w:val="00653AE1"/>
    <w:rsid w:val="0067313F"/>
    <w:rsid w:val="00676875"/>
    <w:rsid w:val="00684335"/>
    <w:rsid w:val="00692575"/>
    <w:rsid w:val="00693B1B"/>
    <w:rsid w:val="00694E54"/>
    <w:rsid w:val="006A0BAE"/>
    <w:rsid w:val="006A30A0"/>
    <w:rsid w:val="006B5078"/>
    <w:rsid w:val="006C14FE"/>
    <w:rsid w:val="006C4087"/>
    <w:rsid w:val="006C7198"/>
    <w:rsid w:val="006D1561"/>
    <w:rsid w:val="006D2839"/>
    <w:rsid w:val="006D6323"/>
    <w:rsid w:val="006E5005"/>
    <w:rsid w:val="00707E37"/>
    <w:rsid w:val="007402B8"/>
    <w:rsid w:val="00741578"/>
    <w:rsid w:val="007420BB"/>
    <w:rsid w:val="00753BA1"/>
    <w:rsid w:val="00754CFA"/>
    <w:rsid w:val="0075618C"/>
    <w:rsid w:val="007602C0"/>
    <w:rsid w:val="00761A63"/>
    <w:rsid w:val="00761C1E"/>
    <w:rsid w:val="00761DE9"/>
    <w:rsid w:val="00762BC2"/>
    <w:rsid w:val="00764656"/>
    <w:rsid w:val="007652EB"/>
    <w:rsid w:val="007732AF"/>
    <w:rsid w:val="00774450"/>
    <w:rsid w:val="00774DCE"/>
    <w:rsid w:val="00797973"/>
    <w:rsid w:val="007A4B19"/>
    <w:rsid w:val="007A5D4B"/>
    <w:rsid w:val="007B10A2"/>
    <w:rsid w:val="007B4985"/>
    <w:rsid w:val="007B49BC"/>
    <w:rsid w:val="007B66BE"/>
    <w:rsid w:val="007C5971"/>
    <w:rsid w:val="007D0E86"/>
    <w:rsid w:val="007D75AB"/>
    <w:rsid w:val="007E121B"/>
    <w:rsid w:val="007E219D"/>
    <w:rsid w:val="007F28C0"/>
    <w:rsid w:val="00802814"/>
    <w:rsid w:val="0080301D"/>
    <w:rsid w:val="00804D38"/>
    <w:rsid w:val="00804E62"/>
    <w:rsid w:val="008159E6"/>
    <w:rsid w:val="00824F33"/>
    <w:rsid w:val="0083759A"/>
    <w:rsid w:val="008403FA"/>
    <w:rsid w:val="00841130"/>
    <w:rsid w:val="00842614"/>
    <w:rsid w:val="00851DFB"/>
    <w:rsid w:val="00862AB8"/>
    <w:rsid w:val="00866525"/>
    <w:rsid w:val="00866BD2"/>
    <w:rsid w:val="00867501"/>
    <w:rsid w:val="0087009F"/>
    <w:rsid w:val="00874490"/>
    <w:rsid w:val="008765A0"/>
    <w:rsid w:val="00880810"/>
    <w:rsid w:val="0089268F"/>
    <w:rsid w:val="008A306C"/>
    <w:rsid w:val="008A5018"/>
    <w:rsid w:val="008A6527"/>
    <w:rsid w:val="008C0D0D"/>
    <w:rsid w:val="008C3B9C"/>
    <w:rsid w:val="008D73D0"/>
    <w:rsid w:val="008E39CB"/>
    <w:rsid w:val="008E497B"/>
    <w:rsid w:val="00900026"/>
    <w:rsid w:val="0090416C"/>
    <w:rsid w:val="00906EC6"/>
    <w:rsid w:val="00911C02"/>
    <w:rsid w:val="00915A64"/>
    <w:rsid w:val="0092156C"/>
    <w:rsid w:val="00921B43"/>
    <w:rsid w:val="00922133"/>
    <w:rsid w:val="00933FFA"/>
    <w:rsid w:val="00945976"/>
    <w:rsid w:val="009465E0"/>
    <w:rsid w:val="009508B4"/>
    <w:rsid w:val="00953B7D"/>
    <w:rsid w:val="00964241"/>
    <w:rsid w:val="00964369"/>
    <w:rsid w:val="00964F0F"/>
    <w:rsid w:val="009864C2"/>
    <w:rsid w:val="0099009B"/>
    <w:rsid w:val="009A2814"/>
    <w:rsid w:val="009A3ED3"/>
    <w:rsid w:val="009A44D3"/>
    <w:rsid w:val="009A602E"/>
    <w:rsid w:val="009A6B38"/>
    <w:rsid w:val="009C3FDF"/>
    <w:rsid w:val="009D148C"/>
    <w:rsid w:val="009D1869"/>
    <w:rsid w:val="009D4E5E"/>
    <w:rsid w:val="009E5CB7"/>
    <w:rsid w:val="00A01533"/>
    <w:rsid w:val="00A03008"/>
    <w:rsid w:val="00A0619E"/>
    <w:rsid w:val="00A07F6E"/>
    <w:rsid w:val="00A24AE0"/>
    <w:rsid w:val="00A3051B"/>
    <w:rsid w:val="00A31397"/>
    <w:rsid w:val="00A3744A"/>
    <w:rsid w:val="00A40E82"/>
    <w:rsid w:val="00A419A3"/>
    <w:rsid w:val="00A47844"/>
    <w:rsid w:val="00A52D31"/>
    <w:rsid w:val="00A560DA"/>
    <w:rsid w:val="00A60190"/>
    <w:rsid w:val="00A60806"/>
    <w:rsid w:val="00A66248"/>
    <w:rsid w:val="00A70C93"/>
    <w:rsid w:val="00A724AD"/>
    <w:rsid w:val="00A74B4F"/>
    <w:rsid w:val="00A864A1"/>
    <w:rsid w:val="00A91631"/>
    <w:rsid w:val="00A95302"/>
    <w:rsid w:val="00AB0264"/>
    <w:rsid w:val="00AC6CAF"/>
    <w:rsid w:val="00AD08BC"/>
    <w:rsid w:val="00AD65B7"/>
    <w:rsid w:val="00AE047A"/>
    <w:rsid w:val="00B03AAC"/>
    <w:rsid w:val="00B067A7"/>
    <w:rsid w:val="00B0743F"/>
    <w:rsid w:val="00B15017"/>
    <w:rsid w:val="00B1713A"/>
    <w:rsid w:val="00B17DD7"/>
    <w:rsid w:val="00B254C9"/>
    <w:rsid w:val="00B31226"/>
    <w:rsid w:val="00B318FB"/>
    <w:rsid w:val="00B3557C"/>
    <w:rsid w:val="00B359A1"/>
    <w:rsid w:val="00B42A1C"/>
    <w:rsid w:val="00B6668C"/>
    <w:rsid w:val="00B66C10"/>
    <w:rsid w:val="00B723D5"/>
    <w:rsid w:val="00B72554"/>
    <w:rsid w:val="00B845AA"/>
    <w:rsid w:val="00B921FF"/>
    <w:rsid w:val="00B9758B"/>
    <w:rsid w:val="00BA00F5"/>
    <w:rsid w:val="00BA099D"/>
    <w:rsid w:val="00BA3FBE"/>
    <w:rsid w:val="00BC4651"/>
    <w:rsid w:val="00BD16CD"/>
    <w:rsid w:val="00BD4B28"/>
    <w:rsid w:val="00BE16F3"/>
    <w:rsid w:val="00BF22DA"/>
    <w:rsid w:val="00BF68BB"/>
    <w:rsid w:val="00C0185B"/>
    <w:rsid w:val="00C07B7C"/>
    <w:rsid w:val="00C12F42"/>
    <w:rsid w:val="00C14A68"/>
    <w:rsid w:val="00C2133E"/>
    <w:rsid w:val="00C45777"/>
    <w:rsid w:val="00C51370"/>
    <w:rsid w:val="00C60EDB"/>
    <w:rsid w:val="00C835ED"/>
    <w:rsid w:val="00C85230"/>
    <w:rsid w:val="00C91D0B"/>
    <w:rsid w:val="00CB6BA2"/>
    <w:rsid w:val="00CD23D5"/>
    <w:rsid w:val="00CD3129"/>
    <w:rsid w:val="00CD4B1C"/>
    <w:rsid w:val="00CD676D"/>
    <w:rsid w:val="00CE338C"/>
    <w:rsid w:val="00CE544F"/>
    <w:rsid w:val="00CE6BFB"/>
    <w:rsid w:val="00CF3F02"/>
    <w:rsid w:val="00D035AF"/>
    <w:rsid w:val="00D05183"/>
    <w:rsid w:val="00D13E3F"/>
    <w:rsid w:val="00D2558C"/>
    <w:rsid w:val="00D27698"/>
    <w:rsid w:val="00D34C0C"/>
    <w:rsid w:val="00D36443"/>
    <w:rsid w:val="00D44771"/>
    <w:rsid w:val="00D50419"/>
    <w:rsid w:val="00D50A88"/>
    <w:rsid w:val="00D51650"/>
    <w:rsid w:val="00D540A3"/>
    <w:rsid w:val="00D6140C"/>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028C7"/>
    <w:rsid w:val="00E0449C"/>
    <w:rsid w:val="00E11B7A"/>
    <w:rsid w:val="00E16156"/>
    <w:rsid w:val="00E16EB6"/>
    <w:rsid w:val="00E17F24"/>
    <w:rsid w:val="00E259E8"/>
    <w:rsid w:val="00E2690C"/>
    <w:rsid w:val="00E27BFC"/>
    <w:rsid w:val="00E33D02"/>
    <w:rsid w:val="00E4392D"/>
    <w:rsid w:val="00E44657"/>
    <w:rsid w:val="00E56456"/>
    <w:rsid w:val="00E611D9"/>
    <w:rsid w:val="00E64E18"/>
    <w:rsid w:val="00E6572A"/>
    <w:rsid w:val="00E709ED"/>
    <w:rsid w:val="00E74A8D"/>
    <w:rsid w:val="00E908F6"/>
    <w:rsid w:val="00EA268A"/>
    <w:rsid w:val="00EA30F2"/>
    <w:rsid w:val="00EB1DAD"/>
    <w:rsid w:val="00EB3E79"/>
    <w:rsid w:val="00EB4299"/>
    <w:rsid w:val="00EB5A8B"/>
    <w:rsid w:val="00EB765B"/>
    <w:rsid w:val="00EC2D32"/>
    <w:rsid w:val="00EC6302"/>
    <w:rsid w:val="00EC7BD5"/>
    <w:rsid w:val="00ED06E7"/>
    <w:rsid w:val="00ED7B68"/>
    <w:rsid w:val="00EE4916"/>
    <w:rsid w:val="00EF0CC1"/>
    <w:rsid w:val="00EF3F73"/>
    <w:rsid w:val="00F03D94"/>
    <w:rsid w:val="00F2037E"/>
    <w:rsid w:val="00F22293"/>
    <w:rsid w:val="00F248DA"/>
    <w:rsid w:val="00F27CA5"/>
    <w:rsid w:val="00F30630"/>
    <w:rsid w:val="00F36EF3"/>
    <w:rsid w:val="00F46ABF"/>
    <w:rsid w:val="00F47E82"/>
    <w:rsid w:val="00F5569A"/>
    <w:rsid w:val="00F61841"/>
    <w:rsid w:val="00F65D69"/>
    <w:rsid w:val="00F70FEE"/>
    <w:rsid w:val="00F73E6B"/>
    <w:rsid w:val="00FA028C"/>
    <w:rsid w:val="00FA260E"/>
    <w:rsid w:val="00FB1ABC"/>
    <w:rsid w:val="00FC24A4"/>
    <w:rsid w:val="00FC7A9F"/>
    <w:rsid w:val="00FE22B0"/>
    <w:rsid w:val="00FE298E"/>
    <w:rsid w:val="00FE2CAD"/>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
    <w:basedOn w:val="2"/>
    <w:next w:val="a1"/>
    <w:link w:val="3Char"/>
    <w:qFormat/>
    <w:rsid w:val="00532759"/>
    <w:pPr>
      <w:numPr>
        <w:ilvl w:val="0"/>
        <w:numId w:val="0"/>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no break Char,h3 Char,Memo Heading 3 Char,hello Char,Titre 3 Car Char,no break Car Char,H3 Car Char,Underrubrik2 Car Char,h3 Car Char,Memo Heading 3 Car Char,hello Car Char,Heading 3 Char Car Char,H3 Char Car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ZG">
    <w:name w:val="ZG"/>
    <w:rsid w:val="00EB1DAD"/>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customStyle="1" w:styleId="ZchnZchn">
    <w:name w:val="Zchn Zchn"/>
    <w:semiHidden/>
    <w:rsid w:val="00107F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Doc-text2">
    <w:name w:val="Doc-text2"/>
    <w:basedOn w:val="a1"/>
    <w:qFormat/>
    <w:rsid w:val="00ED7B68"/>
    <w:pPr>
      <w:tabs>
        <w:tab w:val="left" w:pos="1622"/>
      </w:tabs>
      <w:suppressAutoHyphens/>
      <w:spacing w:after="0"/>
      <w:ind w:left="1622" w:hanging="363"/>
    </w:pPr>
    <w:rPr>
      <w:rFonts w:ascii="Arial" w:eastAsia="MS Mincho" w:hAnsi="Arial" w:cs="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0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E5719-C05D-4D15-9B9D-60B4CC138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3532</TotalTime>
  <Pages>4</Pages>
  <Words>1187</Words>
  <Characters>6772</Characters>
  <Application>Microsoft Office Word</Application>
  <DocSecurity>0</DocSecurity>
  <Lines>56</Lines>
  <Paragraphs>15</Paragraphs>
  <ScaleCrop>false</ScaleCrop>
  <Company/>
  <LinksUpToDate>false</LinksUpToDate>
  <CharactersWithSpaces>7944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56</cp:revision>
  <dcterms:created xsi:type="dcterms:W3CDTF">2018-11-01T04:19:00Z</dcterms:created>
  <dcterms:modified xsi:type="dcterms:W3CDTF">2019-08-16T02:03:00Z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(3)fSUkSGLAofJylNtq7zb+K2GRw6s2BAMe1nVZCngFX/xdnrY3TYT3fu9N6HWDiYfNe6+YUHhr
OxmRMCkemWUSaktTDiszU5Jmdbhzbkjq291u390xKh3pOmS5BAlq5qB01rOVfwTlDbW//rg1
8dntVSag2k7HAU27zkey5Xd7cjLaG0cxc8RpEecXET7+hrfZT3USHR09zZzkLgrz2Oa6E7AG
+lfRUMPi4Hzb7lBjxP</vt:lpwstr>
  </property>
  <property fmtid="{D5CDD505-2E9C-101B-9397-08002B2CF9AE}" pid="3" name="_2015_ms_pID_7253431">
    <vt:lpwstr>xyyKtw1njD0yE2jznD3wcs8m03dG2N9KF4IAW38Ck6uDoMTBnYkagB
BTovCWRwR9elR6n/n1usqcZVmlQ9buliaA9mZ6I5tcO2KTAcQLHXs5ROOSnoBFkOqYiXSXvD
rsN/epBnDvexzitzSW6QRoGWvWNiUJRt0OVn6C0hRvC+WS6+ELlepbSin8Xg8nhfjCmagNxR
1rmKvOCxnIAjoLA24U/tyFz3UspGN8bsV5WE</vt:lpwstr>
  </property>
  <property fmtid="{D5CDD505-2E9C-101B-9397-08002B2CF9AE}" pid="4" name="_2015_ms_pID_7253432">
    <vt:lpwstr>oc4eVVk/THvjI9tnd442ynA=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1565755310</vt:lpwstr>
  </property>
</Properties>
</file>